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BDF74">
      <w:pPr>
        <w:spacing w:line="360" w:lineRule="auto"/>
        <w:ind w:right="-340" w:rightChars="-162"/>
        <w:jc w:val="center"/>
        <w:rPr>
          <w:rFonts w:ascii="宋体" w:hAnsi="宋体"/>
          <w:sz w:val="24"/>
          <w:highlight w:val="none"/>
        </w:rPr>
      </w:pPr>
    </w:p>
    <w:p w14:paraId="451FC2A3">
      <w:pPr>
        <w:spacing w:line="360" w:lineRule="auto"/>
        <w:ind w:right="-340" w:rightChars="-162"/>
        <w:jc w:val="center"/>
        <w:rPr>
          <w:rFonts w:ascii="宋体" w:hAnsi="宋体"/>
          <w:sz w:val="24"/>
          <w:highlight w:val="none"/>
        </w:rPr>
      </w:pPr>
    </w:p>
    <w:p w14:paraId="011889EF">
      <w:pPr>
        <w:spacing w:line="360" w:lineRule="auto"/>
        <w:ind w:right="-340" w:rightChars="-162"/>
        <w:jc w:val="center"/>
        <w:rPr>
          <w:rFonts w:ascii="宋体" w:hAnsi="宋体"/>
          <w:sz w:val="24"/>
          <w:highlight w:val="none"/>
        </w:rPr>
      </w:pPr>
    </w:p>
    <w:p w14:paraId="7AF0A94B">
      <w:pPr>
        <w:spacing w:line="360" w:lineRule="auto"/>
        <w:jc w:val="center"/>
        <w:rPr>
          <w:rFonts w:ascii="宋体" w:hAnsi="宋体"/>
          <w:sz w:val="24"/>
          <w:highlight w:val="none"/>
        </w:rPr>
      </w:pPr>
      <w:r>
        <w:rPr>
          <w:rFonts w:hint="eastAsia" w:ascii="黑体" w:hAnsi="黑体" w:eastAsia="黑体"/>
          <w:b/>
          <w:sz w:val="56"/>
          <w:szCs w:val="44"/>
          <w:highlight w:val="none"/>
          <w:lang w:val="en-US" w:eastAsia="zh-CN"/>
        </w:rPr>
        <w:t>内蒙古博大实地化学有限</w:t>
      </w:r>
      <w:r>
        <w:rPr>
          <w:rFonts w:hint="eastAsia" w:ascii="黑体" w:hAnsi="黑体" w:eastAsia="黑体"/>
          <w:b/>
          <w:sz w:val="56"/>
          <w:szCs w:val="44"/>
          <w:highlight w:val="none"/>
        </w:rPr>
        <w:t>公司</w:t>
      </w:r>
    </w:p>
    <w:p w14:paraId="7EE04B99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15F73DBF">
      <w:pPr>
        <w:spacing w:line="360" w:lineRule="auto"/>
        <w:jc w:val="center"/>
        <w:rPr>
          <w:rFonts w:ascii="黑体" w:hAnsi="宋体" w:eastAsia="黑体"/>
          <w:b/>
          <w:sz w:val="24"/>
          <w:highlight w:val="none"/>
        </w:rPr>
      </w:pPr>
    </w:p>
    <w:p w14:paraId="15434286">
      <w:pPr>
        <w:spacing w:line="360" w:lineRule="auto"/>
        <w:jc w:val="center"/>
        <w:rPr>
          <w:rFonts w:ascii="黑体" w:hAnsi="宋体" w:eastAsia="黑体"/>
          <w:b/>
          <w:sz w:val="24"/>
          <w:highlight w:val="none"/>
        </w:rPr>
      </w:pPr>
    </w:p>
    <w:p w14:paraId="4C43E50D">
      <w:pPr>
        <w:spacing w:line="360" w:lineRule="auto"/>
        <w:jc w:val="center"/>
        <w:rPr>
          <w:rFonts w:ascii="黑体" w:hAnsi="宋体" w:eastAsia="黑体"/>
          <w:b/>
          <w:sz w:val="24"/>
          <w:highlight w:val="none"/>
        </w:rPr>
      </w:pPr>
    </w:p>
    <w:p w14:paraId="459DF7C2">
      <w:pPr>
        <w:spacing w:line="360" w:lineRule="auto"/>
        <w:jc w:val="center"/>
        <w:rPr>
          <w:rFonts w:ascii="黑体" w:hAnsi="宋体" w:eastAsia="黑体"/>
          <w:b/>
          <w:sz w:val="24"/>
          <w:highlight w:val="none"/>
        </w:rPr>
      </w:pPr>
    </w:p>
    <w:p w14:paraId="6BF924F0">
      <w:pPr>
        <w:spacing w:line="360" w:lineRule="auto"/>
        <w:jc w:val="center"/>
        <w:rPr>
          <w:rFonts w:ascii="黑体" w:hAnsi="黑体" w:eastAsia="黑体"/>
          <w:b/>
          <w:sz w:val="52"/>
          <w:szCs w:val="44"/>
          <w:highlight w:val="none"/>
        </w:rPr>
      </w:pPr>
      <w:r>
        <w:rPr>
          <w:rFonts w:hint="eastAsia" w:ascii="黑体" w:hAnsi="黑体" w:eastAsia="黑体"/>
          <w:b/>
          <w:sz w:val="52"/>
          <w:szCs w:val="44"/>
          <w:highlight w:val="none"/>
        </w:rPr>
        <w:t>供应商</w:t>
      </w:r>
      <w:r>
        <w:rPr>
          <w:rFonts w:ascii="黑体" w:hAnsi="黑体" w:eastAsia="黑体"/>
          <w:b/>
          <w:sz w:val="52"/>
          <w:szCs w:val="44"/>
          <w:highlight w:val="none"/>
        </w:rPr>
        <w:t>风险评估报告</w:t>
      </w:r>
    </w:p>
    <w:p w14:paraId="13AF4788">
      <w:pPr>
        <w:spacing w:line="360" w:lineRule="auto"/>
        <w:jc w:val="center"/>
        <w:rPr>
          <w:rFonts w:ascii="黑体" w:hAnsi="黑体" w:eastAsia="黑体"/>
          <w:b/>
          <w:sz w:val="24"/>
          <w:highlight w:val="none"/>
        </w:rPr>
      </w:pPr>
    </w:p>
    <w:p w14:paraId="42E22652">
      <w:pPr>
        <w:spacing w:line="360" w:lineRule="auto"/>
        <w:jc w:val="center"/>
        <w:rPr>
          <w:rFonts w:ascii="宋体" w:hAnsi="宋体"/>
          <w:b/>
          <w:sz w:val="24"/>
          <w:highlight w:val="none"/>
        </w:rPr>
      </w:pPr>
    </w:p>
    <w:p w14:paraId="5CE3FCB1">
      <w:pPr>
        <w:spacing w:line="360" w:lineRule="auto"/>
        <w:jc w:val="center"/>
        <w:rPr>
          <w:rFonts w:ascii="宋体" w:hAnsi="宋体"/>
          <w:b/>
          <w:sz w:val="24"/>
          <w:highlight w:val="none"/>
        </w:rPr>
      </w:pPr>
    </w:p>
    <w:p w14:paraId="15578366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0815C34C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5D4191C5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45D4B61E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4B677181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2C4DE76A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267E0AF7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3A1529E6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56F5B688">
      <w:pPr>
        <w:spacing w:line="360" w:lineRule="auto"/>
        <w:jc w:val="center"/>
        <w:rPr>
          <w:rFonts w:ascii="宋体" w:hAnsi="宋体"/>
          <w:sz w:val="24"/>
          <w:highlight w:val="none"/>
        </w:rPr>
      </w:pPr>
    </w:p>
    <w:p w14:paraId="54CE9310">
      <w:pPr>
        <w:spacing w:line="360" w:lineRule="auto"/>
        <w:jc w:val="center"/>
        <w:rPr>
          <w:rFonts w:ascii="宋体" w:hAnsi="宋体"/>
          <w:b/>
          <w:sz w:val="44"/>
          <w:szCs w:val="52"/>
          <w:highlight w:val="none"/>
        </w:rPr>
      </w:pPr>
      <w:r>
        <w:rPr>
          <w:rFonts w:hint="eastAsia" w:ascii="宋体" w:hAnsi="宋体"/>
          <w:b/>
          <w:sz w:val="44"/>
          <w:szCs w:val="52"/>
          <w:highlight w:val="none"/>
        </w:rPr>
        <w:t>二○二</w:t>
      </w:r>
      <w:r>
        <w:rPr>
          <w:rFonts w:hint="eastAsia" w:ascii="宋体" w:hAnsi="宋体"/>
          <w:b/>
          <w:sz w:val="44"/>
          <w:szCs w:val="52"/>
          <w:highlight w:val="none"/>
          <w:lang w:val="en-US" w:eastAsia="zh-CN"/>
        </w:rPr>
        <w:t>四</w:t>
      </w:r>
      <w:r>
        <w:rPr>
          <w:rFonts w:hint="eastAsia" w:ascii="宋体" w:hAnsi="宋体"/>
          <w:b/>
          <w:sz w:val="44"/>
          <w:szCs w:val="52"/>
          <w:highlight w:val="none"/>
        </w:rPr>
        <w:t>年二月</w:t>
      </w:r>
    </w:p>
    <w:p w14:paraId="4663D56C">
      <w:pPr>
        <w:spacing w:before="156" w:beforeLines="50" w:after="156" w:afterLines="50" w:line="360" w:lineRule="auto"/>
        <w:rPr>
          <w:rFonts w:ascii="宋体" w:hAnsi="宋体" w:cs="宋体"/>
          <w:b/>
          <w:sz w:val="24"/>
          <w:highlight w:val="none"/>
        </w:rPr>
      </w:pPr>
    </w:p>
    <w:p w14:paraId="0E87F4CC">
      <w:pPr>
        <w:spacing w:before="156" w:beforeLines="50" w:after="156" w:afterLines="50" w:line="360" w:lineRule="auto"/>
        <w:rPr>
          <w:rFonts w:hint="eastAsia" w:ascii="宋体" w:hAnsi="宋体" w:cs="宋体"/>
          <w:b/>
          <w:sz w:val="24"/>
          <w:highlight w:val="none"/>
        </w:rPr>
      </w:pPr>
    </w:p>
    <w:p w14:paraId="5B0FDDA1">
      <w:pPr>
        <w:spacing w:before="156" w:beforeLines="50" w:after="156" w:afterLines="50" w:line="360" w:lineRule="auto"/>
        <w:rPr>
          <w:rFonts w:hint="eastAsia" w:ascii="宋体" w:hAnsi="宋体" w:cs="宋体"/>
          <w:b/>
          <w:sz w:val="24"/>
          <w:highlight w:val="none"/>
        </w:rPr>
      </w:pPr>
    </w:p>
    <w:tbl>
      <w:tblPr>
        <w:tblStyle w:val="6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701"/>
        <w:gridCol w:w="998"/>
        <w:gridCol w:w="696"/>
        <w:gridCol w:w="999"/>
        <w:gridCol w:w="425"/>
        <w:gridCol w:w="851"/>
        <w:gridCol w:w="1275"/>
        <w:gridCol w:w="1276"/>
      </w:tblGrid>
      <w:tr w14:paraId="2BDC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5EDC2F3B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文件名称</w:t>
            </w:r>
          </w:p>
        </w:tc>
        <w:tc>
          <w:tcPr>
            <w:tcW w:w="8221" w:type="dxa"/>
            <w:gridSpan w:val="8"/>
          </w:tcPr>
          <w:p w14:paraId="11AFA5DF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2</w:t>
            </w:r>
            <w:r>
              <w:rPr>
                <w:rFonts w:ascii="宋体" w:hAnsi="宋体"/>
                <w:sz w:val="24"/>
                <w:highlight w:val="none"/>
              </w:rPr>
              <w:t>02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highlight w:val="none"/>
              </w:rPr>
              <w:t>年供应商风险评估报告</w:t>
            </w:r>
          </w:p>
        </w:tc>
      </w:tr>
      <w:tr w14:paraId="0F5F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60A73556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文件编号</w:t>
            </w:r>
          </w:p>
        </w:tc>
        <w:tc>
          <w:tcPr>
            <w:tcW w:w="8221" w:type="dxa"/>
            <w:gridSpan w:val="8"/>
          </w:tcPr>
          <w:p w14:paraId="0796D418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PO-BG-01</w:t>
            </w:r>
          </w:p>
        </w:tc>
      </w:tr>
      <w:tr w14:paraId="00490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27B1E3FE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起草人</w:t>
            </w:r>
          </w:p>
        </w:tc>
        <w:tc>
          <w:tcPr>
            <w:tcW w:w="2699" w:type="dxa"/>
            <w:gridSpan w:val="2"/>
          </w:tcPr>
          <w:p w14:paraId="6D8EF77D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高慧文</w:t>
            </w:r>
          </w:p>
        </w:tc>
        <w:tc>
          <w:tcPr>
            <w:tcW w:w="2120" w:type="dxa"/>
            <w:gridSpan w:val="3"/>
          </w:tcPr>
          <w:p w14:paraId="64963F82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起草时间</w:t>
            </w:r>
          </w:p>
        </w:tc>
        <w:tc>
          <w:tcPr>
            <w:tcW w:w="3402" w:type="dxa"/>
            <w:gridSpan w:val="3"/>
          </w:tcPr>
          <w:p w14:paraId="41EAA1C8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202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>1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highlight w:val="none"/>
              </w:rPr>
              <w:t>月5日</w:t>
            </w:r>
          </w:p>
        </w:tc>
      </w:tr>
      <w:tr w14:paraId="1B0D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186BB9AE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初审人</w:t>
            </w:r>
          </w:p>
        </w:tc>
        <w:tc>
          <w:tcPr>
            <w:tcW w:w="2699" w:type="dxa"/>
            <w:gridSpan w:val="2"/>
          </w:tcPr>
          <w:p w14:paraId="4CB565A3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申建斌</w:t>
            </w:r>
          </w:p>
        </w:tc>
        <w:tc>
          <w:tcPr>
            <w:tcW w:w="2120" w:type="dxa"/>
            <w:gridSpan w:val="3"/>
          </w:tcPr>
          <w:p w14:paraId="005179B9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审核时间</w:t>
            </w:r>
          </w:p>
        </w:tc>
        <w:tc>
          <w:tcPr>
            <w:tcW w:w="3402" w:type="dxa"/>
            <w:gridSpan w:val="3"/>
          </w:tcPr>
          <w:p w14:paraId="406AAC84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202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24"/>
                <w:highlight w:val="none"/>
              </w:rPr>
              <w:t>月7日</w:t>
            </w:r>
          </w:p>
        </w:tc>
      </w:tr>
      <w:tr w14:paraId="0EFC9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5C3EA538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审核人</w:t>
            </w:r>
          </w:p>
        </w:tc>
        <w:tc>
          <w:tcPr>
            <w:tcW w:w="2699" w:type="dxa"/>
            <w:gridSpan w:val="2"/>
          </w:tcPr>
          <w:p w14:paraId="0988AC18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冯志亮</w:t>
            </w:r>
          </w:p>
        </w:tc>
        <w:tc>
          <w:tcPr>
            <w:tcW w:w="2120" w:type="dxa"/>
            <w:gridSpan w:val="3"/>
          </w:tcPr>
          <w:p w14:paraId="21AFC13A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批准时间</w:t>
            </w:r>
          </w:p>
        </w:tc>
        <w:tc>
          <w:tcPr>
            <w:tcW w:w="3402" w:type="dxa"/>
            <w:gridSpan w:val="3"/>
          </w:tcPr>
          <w:p w14:paraId="7E73FC2F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202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24"/>
                <w:highlight w:val="none"/>
              </w:rPr>
              <w:t>月8日</w:t>
            </w:r>
          </w:p>
        </w:tc>
      </w:tr>
      <w:tr w14:paraId="52C4C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732C0EDF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批准人</w:t>
            </w:r>
          </w:p>
        </w:tc>
        <w:tc>
          <w:tcPr>
            <w:tcW w:w="2699" w:type="dxa"/>
            <w:gridSpan w:val="2"/>
          </w:tcPr>
          <w:p w14:paraId="3770992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纪王平</w:t>
            </w:r>
          </w:p>
        </w:tc>
        <w:tc>
          <w:tcPr>
            <w:tcW w:w="2120" w:type="dxa"/>
            <w:gridSpan w:val="3"/>
          </w:tcPr>
          <w:p w14:paraId="3EDCF5B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 xml:space="preserve"> 执行时间</w:t>
            </w:r>
          </w:p>
        </w:tc>
        <w:tc>
          <w:tcPr>
            <w:tcW w:w="3402" w:type="dxa"/>
            <w:gridSpan w:val="3"/>
          </w:tcPr>
          <w:p w14:paraId="1F39CA1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202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24"/>
                <w:highlight w:val="none"/>
              </w:rPr>
              <w:t>月8日</w:t>
            </w:r>
          </w:p>
        </w:tc>
      </w:tr>
      <w:tr w14:paraId="4C443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0813272B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颁发部门</w:t>
            </w:r>
          </w:p>
        </w:tc>
        <w:tc>
          <w:tcPr>
            <w:tcW w:w="1701" w:type="dxa"/>
          </w:tcPr>
          <w:p w14:paraId="1FC6C60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供销部</w:t>
            </w:r>
          </w:p>
        </w:tc>
        <w:tc>
          <w:tcPr>
            <w:tcW w:w="1694" w:type="dxa"/>
            <w:gridSpan w:val="2"/>
          </w:tcPr>
          <w:p w14:paraId="02CE3127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版本号</w:t>
            </w:r>
          </w:p>
        </w:tc>
        <w:tc>
          <w:tcPr>
            <w:tcW w:w="999" w:type="dxa"/>
          </w:tcPr>
          <w:p w14:paraId="1F985B28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01</w:t>
            </w:r>
          </w:p>
        </w:tc>
        <w:tc>
          <w:tcPr>
            <w:tcW w:w="1276" w:type="dxa"/>
            <w:gridSpan w:val="2"/>
          </w:tcPr>
          <w:p w14:paraId="7C33C354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分发号</w:t>
            </w:r>
          </w:p>
        </w:tc>
        <w:tc>
          <w:tcPr>
            <w:tcW w:w="2551" w:type="dxa"/>
            <w:gridSpan w:val="2"/>
          </w:tcPr>
          <w:p w14:paraId="3B4F2632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</w:t>
            </w:r>
          </w:p>
        </w:tc>
      </w:tr>
      <w:tr w14:paraId="1211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7AF987F5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分发部门</w:t>
            </w:r>
          </w:p>
        </w:tc>
        <w:tc>
          <w:tcPr>
            <w:tcW w:w="1701" w:type="dxa"/>
          </w:tcPr>
          <w:p w14:paraId="4116185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供销部</w:t>
            </w:r>
          </w:p>
        </w:tc>
        <w:tc>
          <w:tcPr>
            <w:tcW w:w="1694" w:type="dxa"/>
            <w:gridSpan w:val="2"/>
          </w:tcPr>
          <w:p w14:paraId="1245E5E0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生产技术中心</w:t>
            </w:r>
          </w:p>
        </w:tc>
        <w:tc>
          <w:tcPr>
            <w:tcW w:w="2275" w:type="dxa"/>
            <w:gridSpan w:val="3"/>
          </w:tcPr>
          <w:p w14:paraId="15F80A01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安全管理部</w:t>
            </w:r>
          </w:p>
        </w:tc>
        <w:tc>
          <w:tcPr>
            <w:tcW w:w="1275" w:type="dxa"/>
          </w:tcPr>
          <w:p w14:paraId="686D1EF7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综合部</w:t>
            </w:r>
          </w:p>
        </w:tc>
        <w:tc>
          <w:tcPr>
            <w:tcW w:w="1276" w:type="dxa"/>
          </w:tcPr>
          <w:p w14:paraId="4767C280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调度指挥中心</w:t>
            </w:r>
          </w:p>
        </w:tc>
      </w:tr>
    </w:tbl>
    <w:p w14:paraId="3E84566B">
      <w:pPr>
        <w:pStyle w:val="8"/>
        <w:numPr>
          <w:ilvl w:val="0"/>
          <w:numId w:val="0"/>
        </w:numPr>
        <w:tabs>
          <w:tab w:val="left" w:pos="4423"/>
        </w:tabs>
        <w:spacing w:line="360" w:lineRule="auto"/>
        <w:ind w:left="360" w:leftChars="0" w:hanging="360" w:firstLineChars="0"/>
        <w:jc w:val="left"/>
        <w:rPr>
          <w:rFonts w:ascii="宋体" w:hAnsi="宋体"/>
          <w:b/>
          <w:sz w:val="28"/>
          <w:highlight w:val="none"/>
        </w:rPr>
      </w:pPr>
      <w:r>
        <w:rPr>
          <w:rFonts w:hint="default" w:ascii="宋体" w:hAnsi="宋体" w:eastAsia="宋体" w:cs="Times New Roman"/>
          <w:b/>
          <w:kern w:val="2"/>
          <w:sz w:val="28"/>
          <w:szCs w:val="24"/>
          <w:highlight w:val="none"/>
          <w:lang w:val="en-US" w:eastAsia="zh-CN" w:bidi="ar-SA"/>
        </w:rPr>
        <w:t>1.</w:t>
      </w:r>
      <w:r>
        <w:rPr>
          <w:rFonts w:hint="eastAsia" w:ascii="宋体" w:hAnsi="宋体"/>
          <w:b/>
          <w:sz w:val="28"/>
          <w:highlight w:val="none"/>
        </w:rPr>
        <w:t>目的</w:t>
      </w:r>
    </w:p>
    <w:p w14:paraId="5113B31A">
      <w:pPr>
        <w:tabs>
          <w:tab w:val="left" w:pos="430"/>
        </w:tabs>
        <w:autoSpaceDE w:val="0"/>
        <w:autoSpaceDN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确认供应商审计的范围及程度，识别供应商及物料采购选择质量</w:t>
      </w:r>
      <w:r>
        <w:rPr>
          <w:rFonts w:ascii="宋体" w:hAnsi="宋体"/>
          <w:spacing w:val="-8"/>
          <w:sz w:val="24"/>
          <w:highlight w:val="none"/>
        </w:rPr>
        <w:t>风险， 对风险进行分级</w:t>
      </w:r>
      <w:r>
        <w:rPr>
          <w:rFonts w:hint="eastAsia" w:ascii="宋体" w:hAnsi="宋体"/>
          <w:spacing w:val="-8"/>
          <w:sz w:val="24"/>
          <w:highlight w:val="none"/>
        </w:rPr>
        <w:t>，</w:t>
      </w:r>
      <w:r>
        <w:rPr>
          <w:rFonts w:ascii="宋体" w:hAnsi="宋体"/>
          <w:spacing w:val="-8"/>
          <w:sz w:val="24"/>
          <w:highlight w:val="none"/>
        </w:rPr>
        <w:t>根据等级大小</w:t>
      </w:r>
      <w:r>
        <w:rPr>
          <w:rFonts w:hint="eastAsia" w:ascii="宋体" w:hAnsi="宋体"/>
          <w:spacing w:val="15"/>
          <w:sz w:val="24"/>
          <w:highlight w:val="none"/>
        </w:rPr>
        <w:t>，</w:t>
      </w:r>
      <w:r>
        <w:rPr>
          <w:rFonts w:ascii="宋体" w:hAnsi="宋体"/>
          <w:sz w:val="24"/>
          <w:highlight w:val="none"/>
        </w:rPr>
        <w:t>进行分析</w:t>
      </w:r>
      <w:r>
        <w:rPr>
          <w:rFonts w:hint="eastAsia" w:ascii="宋体" w:hAnsi="宋体"/>
          <w:sz w:val="24"/>
          <w:highlight w:val="none"/>
        </w:rPr>
        <w:t>、</w:t>
      </w:r>
      <w:r>
        <w:rPr>
          <w:rFonts w:ascii="宋体" w:hAnsi="宋体"/>
          <w:sz w:val="24"/>
          <w:highlight w:val="none"/>
        </w:rPr>
        <w:t>评估，确保关键</w:t>
      </w:r>
      <w:r>
        <w:rPr>
          <w:rFonts w:ascii="宋体" w:hAnsi="宋体"/>
          <w:spacing w:val="-6"/>
          <w:sz w:val="24"/>
          <w:highlight w:val="none"/>
        </w:rPr>
        <w:t>风险要素能够得到有效控制</w:t>
      </w:r>
      <w:r>
        <w:rPr>
          <w:rFonts w:hint="eastAsia" w:ascii="宋体" w:hAnsi="宋体"/>
          <w:sz w:val="24"/>
          <w:highlight w:val="none"/>
        </w:rPr>
        <w:t>，</w:t>
      </w:r>
      <w:r>
        <w:rPr>
          <w:rFonts w:ascii="宋体" w:hAnsi="宋体"/>
          <w:sz w:val="24"/>
          <w:highlight w:val="none"/>
        </w:rPr>
        <w:t>以降低供应商带来的</w:t>
      </w:r>
      <w:r>
        <w:rPr>
          <w:rFonts w:hint="eastAsia" w:ascii="宋体" w:hAnsi="宋体"/>
          <w:sz w:val="24"/>
          <w:highlight w:val="none"/>
        </w:rPr>
        <w:t>质量</w:t>
      </w:r>
      <w:r>
        <w:rPr>
          <w:rFonts w:ascii="宋体" w:hAnsi="宋体"/>
          <w:sz w:val="24"/>
          <w:highlight w:val="none"/>
        </w:rPr>
        <w:t>风险，并为及时更换供应商提供依据。</w:t>
      </w:r>
    </w:p>
    <w:p w14:paraId="61171301">
      <w:pPr>
        <w:pStyle w:val="8"/>
        <w:numPr>
          <w:ilvl w:val="0"/>
          <w:numId w:val="0"/>
        </w:numPr>
        <w:tabs>
          <w:tab w:val="left" w:pos="430"/>
        </w:tabs>
        <w:autoSpaceDE w:val="0"/>
        <w:autoSpaceDN w:val="0"/>
        <w:spacing w:line="360" w:lineRule="auto"/>
        <w:ind w:left="360" w:leftChars="0" w:hanging="360" w:firstLineChars="0"/>
        <w:rPr>
          <w:rFonts w:ascii="宋体" w:hAnsi="宋体"/>
          <w:b/>
          <w:sz w:val="28"/>
          <w:highlight w:val="none"/>
        </w:rPr>
      </w:pPr>
      <w:r>
        <w:rPr>
          <w:rFonts w:hint="default" w:ascii="宋体" w:hAnsi="宋体" w:eastAsia="宋体" w:cs="Times New Roman"/>
          <w:b/>
          <w:kern w:val="2"/>
          <w:sz w:val="28"/>
          <w:szCs w:val="24"/>
          <w:highlight w:val="none"/>
          <w:lang w:val="en-US" w:eastAsia="zh-CN" w:bidi="ar-SA"/>
        </w:rPr>
        <w:t>2.</w:t>
      </w:r>
      <w:r>
        <w:rPr>
          <w:rFonts w:ascii="宋体" w:hAnsi="宋体"/>
          <w:b/>
          <w:w w:val="110"/>
          <w:sz w:val="28"/>
          <w:highlight w:val="none"/>
        </w:rPr>
        <w:t>范围</w:t>
      </w:r>
    </w:p>
    <w:p w14:paraId="611630E2">
      <w:pPr>
        <w:spacing w:line="360" w:lineRule="auto"/>
        <w:ind w:left="121" w:right="140" w:firstLine="415"/>
        <w:rPr>
          <w:rFonts w:ascii="宋体" w:hAnsi="宋体"/>
          <w:w w:val="105"/>
          <w:sz w:val="24"/>
          <w:highlight w:val="none"/>
        </w:rPr>
      </w:pPr>
      <w:r>
        <w:rPr>
          <w:rFonts w:ascii="宋体" w:hAnsi="宋体"/>
          <w:w w:val="105"/>
          <w:sz w:val="24"/>
          <w:highlight w:val="none"/>
        </w:rPr>
        <w:t>202</w:t>
      </w:r>
      <w:r>
        <w:rPr>
          <w:rFonts w:hint="eastAsia" w:ascii="宋体" w:hAnsi="宋体"/>
          <w:w w:val="105"/>
          <w:sz w:val="24"/>
          <w:highlight w:val="none"/>
          <w:lang w:val="en-US" w:eastAsia="zh-CN"/>
        </w:rPr>
        <w:t>4</w:t>
      </w:r>
      <w:r>
        <w:rPr>
          <w:rFonts w:ascii="宋体" w:hAnsi="宋体"/>
          <w:w w:val="105"/>
          <w:sz w:val="24"/>
          <w:highlight w:val="none"/>
        </w:rPr>
        <w:t>年公司生产品种所涉及的原辅料、包材的供应商均在此风险评估的范围内，重点供应商风险评估。</w:t>
      </w:r>
    </w:p>
    <w:p w14:paraId="592F2413">
      <w:pPr>
        <w:pStyle w:val="8"/>
        <w:numPr>
          <w:ilvl w:val="0"/>
          <w:numId w:val="0"/>
        </w:numPr>
        <w:tabs>
          <w:tab w:val="left" w:pos="435"/>
        </w:tabs>
        <w:autoSpaceDE w:val="0"/>
        <w:autoSpaceDN w:val="0"/>
        <w:spacing w:before="118" w:line="360" w:lineRule="auto"/>
        <w:ind w:left="360" w:leftChars="0" w:hanging="360" w:firstLineChars="0"/>
        <w:rPr>
          <w:rFonts w:ascii="宋体" w:hAnsi="宋体"/>
          <w:b/>
          <w:sz w:val="28"/>
          <w:highlight w:val="none"/>
        </w:rPr>
      </w:pPr>
      <w:r>
        <w:rPr>
          <w:rFonts w:hint="default" w:ascii="宋体" w:hAnsi="宋体" w:eastAsia="宋体" w:cs="Times New Roman"/>
          <w:b/>
          <w:kern w:val="2"/>
          <w:sz w:val="28"/>
          <w:szCs w:val="24"/>
          <w:highlight w:val="none"/>
          <w:lang w:val="en-US" w:eastAsia="zh-CN" w:bidi="ar-SA"/>
        </w:rPr>
        <w:t>3.</w:t>
      </w:r>
      <w:r>
        <w:rPr>
          <w:rFonts w:ascii="宋体" w:hAnsi="宋体"/>
          <w:b/>
          <w:w w:val="110"/>
          <w:sz w:val="28"/>
          <w:highlight w:val="none"/>
        </w:rPr>
        <w:t>责任</w:t>
      </w:r>
    </w:p>
    <w:p w14:paraId="723D4AFD">
      <w:pPr>
        <w:spacing w:line="360" w:lineRule="auto"/>
        <w:ind w:firstLine="528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w w:val="110"/>
          <w:sz w:val="24"/>
          <w:highlight w:val="none"/>
          <w:lang w:val="en-US" w:eastAsia="zh-CN"/>
        </w:rPr>
        <w:t>供销部、调度指挥中心</w:t>
      </w:r>
      <w:r>
        <w:rPr>
          <w:rFonts w:ascii="宋体" w:hAnsi="宋体"/>
          <w:w w:val="110"/>
          <w:sz w:val="24"/>
          <w:highlight w:val="none"/>
        </w:rPr>
        <w:t>、</w:t>
      </w:r>
      <w:r>
        <w:rPr>
          <w:rFonts w:hint="eastAsia" w:ascii="宋体" w:hAnsi="宋体"/>
          <w:w w:val="110"/>
          <w:sz w:val="24"/>
          <w:highlight w:val="none"/>
          <w:lang w:val="en-US" w:eastAsia="zh-CN"/>
        </w:rPr>
        <w:t>生产技术中心、综合部</w:t>
      </w:r>
      <w:r>
        <w:rPr>
          <w:rFonts w:ascii="宋体" w:hAnsi="宋体"/>
          <w:w w:val="110"/>
          <w:sz w:val="24"/>
          <w:highlight w:val="none"/>
        </w:rPr>
        <w:t>。</w:t>
      </w:r>
    </w:p>
    <w:p w14:paraId="4226FE03">
      <w:pPr>
        <w:pStyle w:val="8"/>
        <w:numPr>
          <w:ilvl w:val="0"/>
          <w:numId w:val="0"/>
        </w:numPr>
        <w:tabs>
          <w:tab w:val="left" w:pos="529"/>
          <w:tab w:val="left" w:pos="530"/>
        </w:tabs>
        <w:autoSpaceDE w:val="0"/>
        <w:autoSpaceDN w:val="0"/>
        <w:spacing w:line="360" w:lineRule="auto"/>
        <w:ind w:left="360" w:leftChars="0" w:hanging="360" w:firstLineChars="0"/>
        <w:rPr>
          <w:rFonts w:ascii="宋体" w:hAnsi="宋体"/>
          <w:b/>
          <w:sz w:val="28"/>
          <w:highlight w:val="none"/>
        </w:rPr>
      </w:pPr>
      <w:r>
        <w:rPr>
          <w:rFonts w:hint="default" w:ascii="宋体" w:hAnsi="宋体" w:eastAsia="宋体" w:cs="Times New Roman"/>
          <w:b/>
          <w:kern w:val="2"/>
          <w:sz w:val="28"/>
          <w:szCs w:val="24"/>
          <w:highlight w:val="none"/>
          <w:lang w:val="en-US" w:eastAsia="zh-CN" w:bidi="ar-SA"/>
        </w:rPr>
        <w:t>4.</w:t>
      </w:r>
      <w:r>
        <w:rPr>
          <w:rFonts w:ascii="宋体" w:hAnsi="宋体"/>
          <w:b/>
          <w:w w:val="110"/>
          <w:sz w:val="28"/>
          <w:highlight w:val="none"/>
        </w:rPr>
        <w:t>内容</w:t>
      </w:r>
    </w:p>
    <w:p w14:paraId="30D8AB59">
      <w:pPr>
        <w:tabs>
          <w:tab w:val="left" w:pos="529"/>
          <w:tab w:val="left" w:pos="530"/>
        </w:tabs>
        <w:autoSpaceDE w:val="0"/>
        <w:autoSpaceDN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pacing w:val="-5"/>
          <w:w w:val="110"/>
          <w:sz w:val="24"/>
          <w:highlight w:val="none"/>
        </w:rPr>
        <w:t>4.1.</w:t>
      </w:r>
      <w:r>
        <w:rPr>
          <w:rFonts w:ascii="宋体" w:hAnsi="宋体"/>
          <w:b/>
          <w:spacing w:val="-5"/>
          <w:w w:val="110"/>
          <w:sz w:val="24"/>
          <w:highlight w:val="none"/>
        </w:rPr>
        <w:t>供应</w:t>
      </w:r>
      <w:r>
        <w:rPr>
          <w:rFonts w:ascii="宋体" w:hAnsi="宋体"/>
          <w:b/>
          <w:spacing w:val="-7"/>
          <w:w w:val="110"/>
          <w:sz w:val="24"/>
          <w:highlight w:val="none"/>
        </w:rPr>
        <w:t>商风</w:t>
      </w:r>
      <w:r>
        <w:rPr>
          <w:rFonts w:ascii="宋体" w:hAnsi="宋体"/>
          <w:b/>
          <w:w w:val="110"/>
          <w:sz w:val="24"/>
          <w:highlight w:val="none"/>
        </w:rPr>
        <w:t>险评估</w:t>
      </w:r>
    </w:p>
    <w:p w14:paraId="1039D206">
      <w:pPr>
        <w:spacing w:line="360" w:lineRule="auto"/>
        <w:ind w:left="123" w:right="132" w:firstLine="409"/>
        <w:rPr>
          <w:rFonts w:ascii="宋体" w:hAnsi="宋体"/>
          <w:spacing w:val="5"/>
          <w:w w:val="110"/>
          <w:sz w:val="24"/>
          <w:highlight w:val="none"/>
        </w:rPr>
      </w:pPr>
      <w:r>
        <w:rPr>
          <w:rFonts w:ascii="宋体" w:hAnsi="宋体"/>
          <w:w w:val="110"/>
          <w:sz w:val="24"/>
          <w:highlight w:val="none"/>
        </w:rPr>
        <w:t>包括有效资质评估、商务绩效考核、技术</w:t>
      </w:r>
      <w:r>
        <w:rPr>
          <w:rFonts w:hint="eastAsia" w:ascii="宋体" w:hAnsi="宋体"/>
          <w:w w:val="110"/>
          <w:sz w:val="24"/>
          <w:highlight w:val="none"/>
        </w:rPr>
        <w:t>绩效</w:t>
      </w:r>
      <w:r>
        <w:rPr>
          <w:rFonts w:ascii="宋体" w:hAnsi="宋体"/>
          <w:w w:val="110"/>
          <w:sz w:val="24"/>
          <w:highlight w:val="none"/>
        </w:rPr>
        <w:t>考核、服务绩效考</w:t>
      </w:r>
      <w:r>
        <w:rPr>
          <w:rFonts w:ascii="宋体" w:hAnsi="宋体"/>
          <w:spacing w:val="5"/>
          <w:w w:val="110"/>
          <w:sz w:val="24"/>
          <w:highlight w:val="none"/>
        </w:rPr>
        <w:t>核</w:t>
      </w:r>
      <w:r>
        <w:rPr>
          <w:rFonts w:hint="eastAsia" w:ascii="宋体" w:hAnsi="宋体"/>
          <w:spacing w:val="5"/>
          <w:w w:val="110"/>
          <w:sz w:val="24"/>
          <w:highlight w:val="none"/>
        </w:rPr>
        <w:t>。</w:t>
      </w:r>
    </w:p>
    <w:p w14:paraId="32E70AC4">
      <w:pPr>
        <w:spacing w:line="360" w:lineRule="auto"/>
        <w:ind w:right="132"/>
        <w:rPr>
          <w:rFonts w:ascii="宋体" w:hAnsi="宋体"/>
          <w:b/>
          <w:w w:val="105"/>
          <w:sz w:val="24"/>
          <w:highlight w:val="none"/>
        </w:rPr>
      </w:pPr>
      <w:r>
        <w:rPr>
          <w:rFonts w:hint="eastAsia" w:ascii="宋体" w:hAnsi="宋体"/>
          <w:b/>
          <w:w w:val="105"/>
          <w:sz w:val="24"/>
          <w:highlight w:val="none"/>
        </w:rPr>
        <w:t>4.2.</w:t>
      </w:r>
      <w:r>
        <w:rPr>
          <w:rFonts w:ascii="宋体" w:hAnsi="宋体"/>
          <w:b/>
          <w:w w:val="105"/>
          <w:sz w:val="24"/>
          <w:highlight w:val="none"/>
        </w:rPr>
        <w:t>风险评估小组组员及职责</w:t>
      </w:r>
    </w:p>
    <w:p w14:paraId="3C887B36">
      <w:pPr>
        <w:spacing w:line="360" w:lineRule="auto"/>
        <w:ind w:right="132"/>
        <w:jc w:val="center"/>
        <w:rPr>
          <w:rFonts w:ascii="宋体" w:hAnsi="宋体"/>
          <w:w w:val="105"/>
          <w:sz w:val="24"/>
          <w:highlight w:val="none"/>
        </w:rPr>
      </w:pPr>
      <w:r>
        <w:rPr>
          <w:rFonts w:hint="eastAsia" w:ascii="宋体" w:hAnsi="宋体"/>
          <w:w w:val="105"/>
          <w:sz w:val="24"/>
          <w:highlight w:val="none"/>
        </w:rPr>
        <w:t>表格1 风险评估</w:t>
      </w:r>
      <w:r>
        <w:rPr>
          <w:rFonts w:ascii="宋体" w:hAnsi="宋体"/>
          <w:w w:val="105"/>
          <w:sz w:val="24"/>
          <w:highlight w:val="none"/>
        </w:rPr>
        <w:t>人员表</w:t>
      </w:r>
    </w:p>
    <w:tbl>
      <w:tblPr>
        <w:tblStyle w:val="6"/>
        <w:tblW w:w="10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597"/>
        <w:gridCol w:w="1888"/>
        <w:gridCol w:w="2179"/>
        <w:gridCol w:w="3051"/>
      </w:tblGrid>
      <w:tr w14:paraId="0DC66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02" w:type="dxa"/>
          </w:tcPr>
          <w:p w14:paraId="0351CDF4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成员</w:t>
            </w:r>
          </w:p>
        </w:tc>
        <w:tc>
          <w:tcPr>
            <w:tcW w:w="1597" w:type="dxa"/>
          </w:tcPr>
          <w:p w14:paraId="7343132C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姓名</w:t>
            </w:r>
          </w:p>
        </w:tc>
        <w:tc>
          <w:tcPr>
            <w:tcW w:w="1888" w:type="dxa"/>
          </w:tcPr>
          <w:p w14:paraId="3A2C11FB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部门</w:t>
            </w:r>
          </w:p>
        </w:tc>
        <w:tc>
          <w:tcPr>
            <w:tcW w:w="2179" w:type="dxa"/>
          </w:tcPr>
          <w:p w14:paraId="75651CCB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职务</w:t>
            </w:r>
          </w:p>
        </w:tc>
        <w:tc>
          <w:tcPr>
            <w:tcW w:w="3051" w:type="dxa"/>
          </w:tcPr>
          <w:p w14:paraId="5121AF84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职责</w:t>
            </w:r>
          </w:p>
        </w:tc>
      </w:tr>
      <w:tr w14:paraId="5B891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02" w:type="dxa"/>
          </w:tcPr>
          <w:p w14:paraId="6945208C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组长</w:t>
            </w:r>
          </w:p>
        </w:tc>
        <w:tc>
          <w:tcPr>
            <w:tcW w:w="1597" w:type="dxa"/>
            <w:vAlign w:val="top"/>
          </w:tcPr>
          <w:p w14:paraId="00D2A2AF">
            <w:pPr>
              <w:spacing w:line="360" w:lineRule="auto"/>
              <w:ind w:right="132" w:rightChars="0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冯志亮</w:t>
            </w:r>
          </w:p>
        </w:tc>
        <w:tc>
          <w:tcPr>
            <w:tcW w:w="1888" w:type="dxa"/>
            <w:vAlign w:val="top"/>
          </w:tcPr>
          <w:p w14:paraId="5C1ECE49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供销部</w:t>
            </w:r>
          </w:p>
        </w:tc>
        <w:tc>
          <w:tcPr>
            <w:tcW w:w="2179" w:type="dxa"/>
            <w:vAlign w:val="top"/>
          </w:tcPr>
          <w:p w14:paraId="0D08060B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经理</w:t>
            </w:r>
          </w:p>
        </w:tc>
        <w:tc>
          <w:tcPr>
            <w:tcW w:w="3051" w:type="dxa"/>
          </w:tcPr>
          <w:p w14:paraId="760D3D69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统筹</w:t>
            </w:r>
            <w:r>
              <w:rPr>
                <w:rFonts w:ascii="宋体" w:hAnsi="宋体"/>
                <w:sz w:val="24"/>
                <w:highlight w:val="none"/>
              </w:rPr>
              <w:t>评估工作开展</w:t>
            </w:r>
          </w:p>
        </w:tc>
      </w:tr>
      <w:tr w14:paraId="4072C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02" w:type="dxa"/>
          </w:tcPr>
          <w:p w14:paraId="1EDAB37E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组员</w:t>
            </w:r>
          </w:p>
        </w:tc>
        <w:tc>
          <w:tcPr>
            <w:tcW w:w="1597" w:type="dxa"/>
            <w:vAlign w:val="top"/>
          </w:tcPr>
          <w:p w14:paraId="51B4E5EB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申建斌</w:t>
            </w:r>
          </w:p>
        </w:tc>
        <w:tc>
          <w:tcPr>
            <w:tcW w:w="1888" w:type="dxa"/>
            <w:vAlign w:val="top"/>
          </w:tcPr>
          <w:p w14:paraId="4452B12A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供销部</w:t>
            </w:r>
          </w:p>
        </w:tc>
        <w:tc>
          <w:tcPr>
            <w:tcW w:w="2179" w:type="dxa"/>
            <w:vAlign w:val="top"/>
          </w:tcPr>
          <w:p w14:paraId="769F119E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采购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主管</w:t>
            </w:r>
          </w:p>
        </w:tc>
        <w:tc>
          <w:tcPr>
            <w:tcW w:w="3051" w:type="dxa"/>
          </w:tcPr>
          <w:p w14:paraId="654CA0DF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供应商</w:t>
            </w:r>
            <w:r>
              <w:rPr>
                <w:rFonts w:ascii="宋体" w:hAnsi="宋体"/>
                <w:sz w:val="24"/>
                <w:highlight w:val="none"/>
              </w:rPr>
              <w:t>有效资质的评估</w:t>
            </w:r>
          </w:p>
        </w:tc>
      </w:tr>
      <w:tr w14:paraId="60521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02" w:type="dxa"/>
          </w:tcPr>
          <w:p w14:paraId="09C57A38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组员</w:t>
            </w:r>
          </w:p>
        </w:tc>
        <w:tc>
          <w:tcPr>
            <w:tcW w:w="1597" w:type="dxa"/>
            <w:vAlign w:val="top"/>
          </w:tcPr>
          <w:p w14:paraId="0AD7995F">
            <w:pPr>
              <w:spacing w:line="360" w:lineRule="auto"/>
              <w:ind w:right="132" w:rightChars="0"/>
              <w:jc w:val="center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王海浪</w:t>
            </w:r>
          </w:p>
        </w:tc>
        <w:tc>
          <w:tcPr>
            <w:tcW w:w="1888" w:type="dxa"/>
            <w:vAlign w:val="top"/>
          </w:tcPr>
          <w:p w14:paraId="296BCF31">
            <w:pPr>
              <w:spacing w:line="360" w:lineRule="auto"/>
              <w:ind w:right="132" w:rightChars="0"/>
              <w:jc w:val="center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综合部</w:t>
            </w:r>
          </w:p>
        </w:tc>
        <w:tc>
          <w:tcPr>
            <w:tcW w:w="2179" w:type="dxa"/>
            <w:vAlign w:val="top"/>
          </w:tcPr>
          <w:p w14:paraId="0763B3DA">
            <w:pPr>
              <w:spacing w:line="360" w:lineRule="auto"/>
              <w:ind w:right="132" w:rightChars="0"/>
              <w:jc w:val="center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主管</w:t>
            </w:r>
          </w:p>
        </w:tc>
        <w:tc>
          <w:tcPr>
            <w:tcW w:w="3051" w:type="dxa"/>
          </w:tcPr>
          <w:p w14:paraId="5595FD66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供应商</w:t>
            </w:r>
            <w:r>
              <w:rPr>
                <w:rFonts w:ascii="宋体" w:hAnsi="宋体"/>
                <w:sz w:val="24"/>
                <w:highlight w:val="none"/>
              </w:rPr>
              <w:t>商务绩效考核</w:t>
            </w:r>
          </w:p>
        </w:tc>
      </w:tr>
      <w:tr w14:paraId="045DD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02" w:type="dxa"/>
          </w:tcPr>
          <w:p w14:paraId="5CA0E3A6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组员</w:t>
            </w:r>
          </w:p>
        </w:tc>
        <w:tc>
          <w:tcPr>
            <w:tcW w:w="1597" w:type="dxa"/>
            <w:vAlign w:val="top"/>
          </w:tcPr>
          <w:p w14:paraId="5005BA52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吴凡凡</w:t>
            </w:r>
          </w:p>
        </w:tc>
        <w:tc>
          <w:tcPr>
            <w:tcW w:w="1888" w:type="dxa"/>
            <w:vAlign w:val="top"/>
          </w:tcPr>
          <w:p w14:paraId="2279180A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生产技术中心</w:t>
            </w:r>
          </w:p>
        </w:tc>
        <w:tc>
          <w:tcPr>
            <w:tcW w:w="2179" w:type="dxa"/>
            <w:vAlign w:val="top"/>
          </w:tcPr>
          <w:p w14:paraId="77B3A543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主任</w:t>
            </w:r>
          </w:p>
        </w:tc>
        <w:tc>
          <w:tcPr>
            <w:tcW w:w="3051" w:type="dxa"/>
          </w:tcPr>
          <w:p w14:paraId="5D0542B4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供应商</w:t>
            </w:r>
            <w:r>
              <w:rPr>
                <w:rFonts w:ascii="宋体" w:hAnsi="宋体"/>
                <w:sz w:val="24"/>
                <w:highlight w:val="none"/>
              </w:rPr>
              <w:t>服务绩效考核</w:t>
            </w:r>
          </w:p>
        </w:tc>
      </w:tr>
      <w:tr w14:paraId="2DA43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02" w:type="dxa"/>
          </w:tcPr>
          <w:p w14:paraId="06FB177A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组员</w:t>
            </w:r>
          </w:p>
        </w:tc>
        <w:tc>
          <w:tcPr>
            <w:tcW w:w="1597" w:type="dxa"/>
            <w:vAlign w:val="top"/>
          </w:tcPr>
          <w:p w14:paraId="6AF7E31B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康志柄</w:t>
            </w:r>
          </w:p>
        </w:tc>
        <w:tc>
          <w:tcPr>
            <w:tcW w:w="1888" w:type="dxa"/>
            <w:vAlign w:val="top"/>
          </w:tcPr>
          <w:p w14:paraId="2A7065BB">
            <w:pPr>
              <w:spacing w:line="360" w:lineRule="auto"/>
              <w:ind w:right="132" w:rightChars="0"/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调度指挥中心</w:t>
            </w:r>
          </w:p>
        </w:tc>
        <w:tc>
          <w:tcPr>
            <w:tcW w:w="2179" w:type="dxa"/>
            <w:vAlign w:val="top"/>
          </w:tcPr>
          <w:p w14:paraId="0CF60981">
            <w:pPr>
              <w:spacing w:line="360" w:lineRule="auto"/>
              <w:ind w:right="132" w:rightChars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白班调度</w:t>
            </w:r>
          </w:p>
        </w:tc>
        <w:tc>
          <w:tcPr>
            <w:tcW w:w="3051" w:type="dxa"/>
          </w:tcPr>
          <w:p w14:paraId="6119E8CA">
            <w:pPr>
              <w:spacing w:line="360" w:lineRule="auto"/>
              <w:ind w:right="132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供应商</w:t>
            </w:r>
            <w:r>
              <w:rPr>
                <w:rFonts w:ascii="宋体" w:hAnsi="宋体"/>
                <w:sz w:val="24"/>
                <w:highlight w:val="none"/>
              </w:rPr>
              <w:t>技术绩效考核</w:t>
            </w:r>
          </w:p>
        </w:tc>
      </w:tr>
    </w:tbl>
    <w:p w14:paraId="30A6C088">
      <w:pPr>
        <w:pStyle w:val="2"/>
        <w:spacing w:line="360" w:lineRule="auto"/>
        <w:rPr>
          <w:b/>
          <w:sz w:val="24"/>
          <w:szCs w:val="24"/>
          <w:highlight w:val="none"/>
          <w:lang w:eastAsia="zh-CN"/>
        </w:rPr>
      </w:pPr>
      <w:r>
        <w:rPr>
          <w:rFonts w:hint="eastAsia" w:cs="Times New Roman"/>
          <w:b/>
          <w:kern w:val="2"/>
          <w:sz w:val="24"/>
          <w:szCs w:val="24"/>
          <w:highlight w:val="none"/>
          <w:lang w:eastAsia="zh-CN"/>
        </w:rPr>
        <w:t>4.3.</w:t>
      </w:r>
      <w:r>
        <w:rPr>
          <w:b/>
          <w:w w:val="105"/>
          <w:sz w:val="24"/>
          <w:szCs w:val="24"/>
          <w:highlight w:val="none"/>
          <w:lang w:eastAsia="zh-CN"/>
        </w:rPr>
        <w:t>风险评估程序</w:t>
      </w:r>
    </w:p>
    <w:p w14:paraId="3D9A834E">
      <w:pPr>
        <w:spacing w:before="1" w:line="360" w:lineRule="auto"/>
        <w:ind w:firstLine="240" w:firstLineChars="100"/>
        <w:rPr>
          <w:rFonts w:ascii="宋体" w:hAnsi="宋体"/>
          <w:w w:val="80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（1）成立风险评估小组</w:t>
      </w:r>
      <w:r>
        <w:rPr>
          <w:rFonts w:hint="eastAsia" w:ascii="宋体" w:hAnsi="宋体"/>
          <w:w w:val="80"/>
          <w:sz w:val="24"/>
          <w:highlight w:val="none"/>
        </w:rPr>
        <w:t>；</w:t>
      </w:r>
    </w:p>
    <w:p w14:paraId="3FA05360">
      <w:pPr>
        <w:spacing w:before="1" w:line="360" w:lineRule="auto"/>
        <w:ind w:firstLine="240" w:firstLineChars="100"/>
        <w:rPr>
          <w:rFonts w:ascii="宋体" w:hAnsi="宋体"/>
          <w:w w:val="80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（2）划定风险评估对象， 制定风险评估方案</w:t>
      </w:r>
      <w:r>
        <w:rPr>
          <w:rFonts w:hint="eastAsia" w:ascii="宋体" w:hAnsi="宋体"/>
          <w:w w:val="75"/>
          <w:sz w:val="24"/>
          <w:highlight w:val="none"/>
        </w:rPr>
        <w:t>；</w:t>
      </w:r>
    </w:p>
    <w:p w14:paraId="6929DE13">
      <w:pPr>
        <w:spacing w:line="360" w:lineRule="auto"/>
        <w:ind w:firstLine="240" w:firstLineChars="1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（3）开展评估对象供应商绩效评估</w:t>
      </w:r>
      <w:r>
        <w:rPr>
          <w:rFonts w:hint="eastAsia" w:ascii="宋体" w:hAnsi="宋体"/>
          <w:w w:val="75"/>
          <w:sz w:val="24"/>
          <w:highlight w:val="none"/>
        </w:rPr>
        <w:t>；</w:t>
      </w:r>
    </w:p>
    <w:p w14:paraId="68A2F01E">
      <w:pPr>
        <w:spacing w:line="360" w:lineRule="auto"/>
        <w:ind w:firstLine="240" w:firstLineChars="1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（4）</w:t>
      </w:r>
      <w:r>
        <w:rPr>
          <w:rFonts w:hint="eastAsia" w:ascii="宋体" w:hAnsi="宋体"/>
          <w:w w:val="80"/>
          <w:sz w:val="24"/>
          <w:highlight w:val="none"/>
        </w:rPr>
        <w:t xml:space="preserve"> </w:t>
      </w:r>
      <w:r>
        <w:rPr>
          <w:rFonts w:hint="eastAsia" w:ascii="宋体" w:hAnsi="宋体"/>
          <w:sz w:val="24"/>
          <w:highlight w:val="none"/>
        </w:rPr>
        <w:t>根据风险评估方案划定风险范围</w:t>
      </w:r>
      <w:r>
        <w:rPr>
          <w:rFonts w:hint="eastAsia" w:ascii="宋体" w:hAnsi="宋体"/>
          <w:w w:val="75"/>
          <w:sz w:val="24"/>
          <w:highlight w:val="none"/>
        </w:rPr>
        <w:t>；</w:t>
      </w:r>
    </w:p>
    <w:p w14:paraId="273A1EF6">
      <w:pPr>
        <w:spacing w:line="360" w:lineRule="auto"/>
        <w:ind w:firstLine="240" w:firstLineChars="1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（5）</w:t>
      </w:r>
      <w:r>
        <w:rPr>
          <w:rFonts w:hint="eastAsia" w:ascii="宋体" w:hAnsi="宋体"/>
          <w:w w:val="80"/>
          <w:sz w:val="24"/>
          <w:highlight w:val="none"/>
        </w:rPr>
        <w:t xml:space="preserve"> </w:t>
      </w:r>
      <w:r>
        <w:rPr>
          <w:rFonts w:hint="eastAsia" w:ascii="宋体" w:hAnsi="宋体"/>
          <w:sz w:val="24"/>
          <w:highlight w:val="none"/>
        </w:rPr>
        <w:t>编制</w:t>
      </w:r>
      <w:r>
        <w:rPr>
          <w:rFonts w:ascii="宋体" w:hAnsi="宋体"/>
          <w:sz w:val="24"/>
          <w:highlight w:val="none"/>
        </w:rPr>
        <w:t>风</w:t>
      </w:r>
      <w:r>
        <w:rPr>
          <w:rFonts w:hint="eastAsia" w:ascii="宋体" w:hAnsi="宋体"/>
          <w:sz w:val="24"/>
          <w:highlight w:val="none"/>
        </w:rPr>
        <w:t>险评估报告。</w:t>
      </w:r>
    </w:p>
    <w:p w14:paraId="6123A92E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4.4.风险</w:t>
      </w:r>
      <w:r>
        <w:rPr>
          <w:rFonts w:ascii="宋体" w:hAnsi="宋体"/>
          <w:b/>
          <w:sz w:val="24"/>
          <w:highlight w:val="none"/>
        </w:rPr>
        <w:t>评估</w:t>
      </w:r>
      <w:r>
        <w:rPr>
          <w:rFonts w:hint="eastAsia" w:ascii="宋体" w:hAnsi="宋体"/>
          <w:b/>
          <w:sz w:val="24"/>
          <w:highlight w:val="none"/>
        </w:rPr>
        <w:t>原则</w:t>
      </w:r>
    </w:p>
    <w:p w14:paraId="182EAF0D">
      <w:pPr>
        <w:spacing w:before="42" w:line="360" w:lineRule="auto"/>
        <w:ind w:right="3511" w:firstLine="240" w:firstLineChars="100"/>
        <w:rPr>
          <w:rFonts w:hint="eastAsia" w:ascii="宋体" w:hAnsi="宋体" w:eastAsia="宋体"/>
          <w:spacing w:val="-8"/>
          <w:w w:val="105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</w:rPr>
        <w:t>（1）</w:t>
      </w:r>
      <w:r>
        <w:rPr>
          <w:rFonts w:ascii="宋体" w:hAnsi="宋体"/>
          <w:spacing w:val="-8"/>
          <w:w w:val="105"/>
          <w:sz w:val="24"/>
          <w:highlight w:val="none"/>
        </w:rPr>
        <w:t>《</w:t>
      </w:r>
      <w:r>
        <w:rPr>
          <w:rFonts w:hint="eastAsia" w:ascii="宋体" w:hAnsi="宋体"/>
          <w:spacing w:val="-8"/>
          <w:w w:val="105"/>
          <w:sz w:val="24"/>
          <w:highlight w:val="none"/>
        </w:rPr>
        <w:t>废日物资管理制度</w:t>
      </w: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》</w:t>
      </w:r>
    </w:p>
    <w:p w14:paraId="5FCE132D">
      <w:pPr>
        <w:spacing w:before="42" w:line="360" w:lineRule="auto"/>
        <w:ind w:right="3511" w:firstLine="236" w:firstLineChars="100"/>
        <w:rPr>
          <w:rFonts w:hint="eastAsia" w:ascii="宋体" w:hAnsi="宋体"/>
          <w:spacing w:val="-8"/>
          <w:w w:val="105"/>
          <w:sz w:val="24"/>
          <w:highlight w:val="none"/>
        </w:rPr>
      </w:pP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（</w:t>
      </w:r>
      <w:r>
        <w:rPr>
          <w:rFonts w:hint="eastAsia" w:ascii="宋体" w:hAnsi="宋体"/>
          <w:spacing w:val="-8"/>
          <w:w w:val="105"/>
          <w:sz w:val="24"/>
          <w:highlight w:val="none"/>
          <w:lang w:val="en-US" w:eastAsia="zh-CN"/>
        </w:rPr>
        <w:t>2</w:t>
      </w: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）《</w:t>
      </w:r>
      <w:r>
        <w:rPr>
          <w:rFonts w:hint="eastAsia" w:ascii="宋体" w:hAnsi="宋体"/>
          <w:spacing w:val="-8"/>
          <w:w w:val="105"/>
          <w:sz w:val="24"/>
          <w:highlight w:val="none"/>
        </w:rPr>
        <w:t>存货管理办法法</w:t>
      </w: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》</w:t>
      </w:r>
    </w:p>
    <w:p w14:paraId="6CDD42E8">
      <w:pPr>
        <w:spacing w:before="42" w:line="360" w:lineRule="auto"/>
        <w:ind w:right="3511" w:firstLine="236" w:firstLineChars="100"/>
        <w:rPr>
          <w:rFonts w:hint="eastAsia" w:ascii="宋体" w:hAnsi="宋体"/>
          <w:spacing w:val="-8"/>
          <w:w w:val="105"/>
          <w:sz w:val="24"/>
          <w:highlight w:val="none"/>
        </w:rPr>
      </w:pP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（</w:t>
      </w:r>
      <w:r>
        <w:rPr>
          <w:rFonts w:hint="eastAsia" w:ascii="宋体" w:hAnsi="宋体"/>
          <w:spacing w:val="-8"/>
          <w:w w:val="105"/>
          <w:sz w:val="24"/>
          <w:highlight w:val="none"/>
          <w:lang w:val="en-US" w:eastAsia="zh-CN"/>
        </w:rPr>
        <w:t>3</w:t>
      </w: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）《</w:t>
      </w:r>
      <w:r>
        <w:rPr>
          <w:rFonts w:hint="eastAsia" w:ascii="宋体" w:hAnsi="宋体"/>
          <w:spacing w:val="-8"/>
          <w:w w:val="105"/>
          <w:sz w:val="24"/>
          <w:highlight w:val="none"/>
        </w:rPr>
        <w:t>物资采购管理制度</w:t>
      </w: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》</w:t>
      </w:r>
    </w:p>
    <w:p w14:paraId="1E3D148D">
      <w:pPr>
        <w:spacing w:before="42" w:line="360" w:lineRule="auto"/>
        <w:ind w:right="3511" w:firstLine="236" w:firstLineChars="100"/>
        <w:rPr>
          <w:rFonts w:hint="eastAsia" w:ascii="宋体" w:hAnsi="宋体"/>
          <w:spacing w:val="-8"/>
          <w:w w:val="105"/>
          <w:sz w:val="24"/>
          <w:highlight w:val="none"/>
        </w:rPr>
      </w:pP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（</w:t>
      </w:r>
      <w:r>
        <w:rPr>
          <w:rFonts w:hint="eastAsia" w:ascii="宋体" w:hAnsi="宋体"/>
          <w:spacing w:val="-8"/>
          <w:w w:val="105"/>
          <w:sz w:val="24"/>
          <w:highlight w:val="none"/>
          <w:lang w:val="en-US" w:eastAsia="zh-CN"/>
        </w:rPr>
        <w:t>4</w:t>
      </w: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）《</w:t>
      </w:r>
      <w:r>
        <w:rPr>
          <w:rFonts w:hint="eastAsia" w:ascii="宋体" w:hAnsi="宋体"/>
          <w:spacing w:val="-8"/>
          <w:w w:val="105"/>
          <w:sz w:val="24"/>
          <w:highlight w:val="none"/>
        </w:rPr>
        <w:t>招投标管理办法</w:t>
      </w: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》</w:t>
      </w:r>
    </w:p>
    <w:p w14:paraId="7CABC42B">
      <w:pPr>
        <w:spacing w:before="42" w:line="360" w:lineRule="auto"/>
        <w:ind w:right="3511" w:firstLine="236" w:firstLineChars="1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（</w:t>
      </w:r>
      <w:r>
        <w:rPr>
          <w:rFonts w:hint="eastAsia" w:ascii="宋体" w:hAnsi="宋体"/>
          <w:spacing w:val="-8"/>
          <w:w w:val="105"/>
          <w:sz w:val="24"/>
          <w:highlight w:val="none"/>
          <w:lang w:val="en-US" w:eastAsia="zh-CN"/>
        </w:rPr>
        <w:t>5</w:t>
      </w: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）《</w:t>
      </w:r>
      <w:r>
        <w:rPr>
          <w:rFonts w:hint="eastAsia" w:ascii="宋体" w:hAnsi="宋体"/>
          <w:spacing w:val="-8"/>
          <w:w w:val="105"/>
          <w:sz w:val="24"/>
          <w:highlight w:val="none"/>
        </w:rPr>
        <w:t>定价管理办法</w:t>
      </w:r>
      <w:r>
        <w:rPr>
          <w:rFonts w:hint="eastAsia" w:ascii="宋体" w:hAnsi="宋体"/>
          <w:spacing w:val="-8"/>
          <w:w w:val="105"/>
          <w:sz w:val="24"/>
          <w:highlight w:val="none"/>
          <w:lang w:eastAsia="zh-CN"/>
        </w:rPr>
        <w:t>》</w:t>
      </w:r>
    </w:p>
    <w:p w14:paraId="7FBD96A5">
      <w:pPr>
        <w:spacing w:before="42" w:line="360" w:lineRule="auto"/>
        <w:ind w:right="3511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4.5.</w:t>
      </w:r>
      <w:r>
        <w:rPr>
          <w:rFonts w:hint="eastAsia" w:ascii="宋体" w:hAnsi="宋体"/>
          <w:b/>
          <w:sz w:val="24"/>
          <w:highlight w:val="none"/>
        </w:rPr>
        <w:t>评估方法</w:t>
      </w:r>
    </w:p>
    <w:p w14:paraId="6315B614">
      <w:pPr>
        <w:spacing w:line="360" w:lineRule="auto"/>
        <w:ind w:left="123" w:right="132" w:firstLine="409"/>
        <w:rPr>
          <w:rFonts w:hint="eastAsia" w:ascii="宋体" w:hAnsi="宋体" w:eastAsia="宋体"/>
          <w:w w:val="110"/>
          <w:sz w:val="24"/>
          <w:highlight w:val="none"/>
          <w:lang w:val="en-US" w:eastAsia="zh-CN"/>
        </w:rPr>
      </w:pPr>
      <w:r>
        <w:rPr>
          <w:rFonts w:ascii="宋体" w:hAnsi="宋体"/>
          <w:w w:val="110"/>
          <w:sz w:val="24"/>
          <w:highlight w:val="none"/>
        </w:rPr>
        <w:t>按供应商考核评分得分结果，</w:t>
      </w:r>
      <w:r>
        <w:rPr>
          <w:rFonts w:hint="eastAsia" w:ascii="宋体" w:hAnsi="宋体"/>
          <w:w w:val="110"/>
          <w:sz w:val="24"/>
          <w:highlight w:val="none"/>
        </w:rPr>
        <w:t>续用表评价由调度指挥中心和供销部共同完成，其中调度指挥中心负责60%的权重，主要进行使用部门评价；供销部负责40%的权重，专注于采购评价。将两个部门的初步评分按照预定比例进行加权平均，得出最终的综合评分，最终评分 = 调度指挥中心评分 * 60% + 供销部评分 * 40%。评定分数在90-100（含下限90分）分者为A级，A级为优秀供应商；在80-90（含下限80分）分者为B级，B级为合格供应商；在70-80（含下限70分）分者为C级，C级为应辅助供应商，需进行辅助、减量采购或暂停采购。在70分以下为不合格供应商建议集团予以淘汰</w:t>
      </w:r>
      <w:r>
        <w:rPr>
          <w:rFonts w:hint="eastAsia" w:ascii="宋体" w:hAnsi="宋体"/>
          <w:w w:val="110"/>
          <w:sz w:val="24"/>
          <w:highlight w:val="none"/>
          <w:lang w:eastAsia="zh-CN"/>
        </w:rPr>
        <w:t>。</w:t>
      </w:r>
    </w:p>
    <w:p w14:paraId="14BD2A23">
      <w:pPr>
        <w:spacing w:line="360" w:lineRule="auto"/>
        <w:ind w:right="132"/>
        <w:rPr>
          <w:rFonts w:ascii="宋体" w:hAnsi="宋体"/>
          <w:b/>
          <w:w w:val="110"/>
          <w:sz w:val="24"/>
          <w:highlight w:val="none"/>
        </w:rPr>
      </w:pPr>
      <w:r>
        <w:rPr>
          <w:rFonts w:hint="eastAsia" w:ascii="宋体" w:hAnsi="宋体"/>
          <w:b/>
          <w:w w:val="110"/>
          <w:sz w:val="24"/>
          <w:highlight w:val="none"/>
        </w:rPr>
        <w:t>4.6.评估过程</w:t>
      </w:r>
    </w:p>
    <w:p w14:paraId="30392028">
      <w:pPr>
        <w:spacing w:line="360" w:lineRule="auto"/>
        <w:ind w:right="132"/>
        <w:jc w:val="center"/>
        <w:rPr>
          <w:rFonts w:ascii="宋体" w:hAnsi="宋体"/>
          <w:w w:val="110"/>
          <w:sz w:val="24"/>
          <w:highlight w:val="none"/>
        </w:rPr>
      </w:pPr>
      <w:r>
        <w:rPr>
          <w:rFonts w:hint="eastAsia" w:ascii="宋体" w:hAnsi="宋体"/>
          <w:w w:val="110"/>
          <w:sz w:val="24"/>
          <w:highlight w:val="none"/>
        </w:rPr>
        <w:t>大宗</w:t>
      </w:r>
      <w:r>
        <w:rPr>
          <w:rFonts w:ascii="宋体" w:hAnsi="宋体"/>
          <w:w w:val="110"/>
          <w:sz w:val="24"/>
          <w:highlight w:val="none"/>
        </w:rPr>
        <w:t>原材料供应商考核</w:t>
      </w:r>
      <w:r>
        <w:rPr>
          <w:rFonts w:hint="eastAsia" w:ascii="宋体" w:hAnsi="宋体"/>
          <w:w w:val="110"/>
          <w:sz w:val="24"/>
          <w:highlight w:val="none"/>
        </w:rPr>
        <w:t>评价表</w:t>
      </w:r>
    </w:p>
    <w:tbl>
      <w:tblPr>
        <w:tblStyle w:val="6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417"/>
        <w:gridCol w:w="521"/>
        <w:gridCol w:w="950"/>
        <w:gridCol w:w="649"/>
        <w:gridCol w:w="251"/>
        <w:gridCol w:w="275"/>
        <w:gridCol w:w="523"/>
        <w:gridCol w:w="1331"/>
        <w:gridCol w:w="256"/>
        <w:gridCol w:w="968"/>
        <w:gridCol w:w="187"/>
        <w:gridCol w:w="2836"/>
      </w:tblGrid>
      <w:tr w14:paraId="24A7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5" w:type="dxa"/>
            <w:gridSpan w:val="10"/>
          </w:tcPr>
          <w:p w14:paraId="4701B787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供应商名称：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 xml:space="preserve"> </w:t>
            </w:r>
          </w:p>
        </w:tc>
        <w:tc>
          <w:tcPr>
            <w:tcW w:w="3991" w:type="dxa"/>
            <w:gridSpan w:val="3"/>
          </w:tcPr>
          <w:p w14:paraId="0C07A044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评价期间：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 xml:space="preserve"> </w:t>
            </w:r>
          </w:p>
        </w:tc>
      </w:tr>
      <w:tr w14:paraId="1F3A6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9" w:type="dxa"/>
            <w:gridSpan w:val="5"/>
          </w:tcPr>
          <w:p w14:paraId="12077D1B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供应物资：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 xml:space="preserve"> </w:t>
            </w:r>
          </w:p>
        </w:tc>
        <w:tc>
          <w:tcPr>
            <w:tcW w:w="3604" w:type="dxa"/>
            <w:gridSpan w:val="6"/>
          </w:tcPr>
          <w:p w14:paraId="6A89DEDD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市场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状况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：宽松 正常 紧张</w:t>
            </w:r>
          </w:p>
        </w:tc>
        <w:tc>
          <w:tcPr>
            <w:tcW w:w="3023" w:type="dxa"/>
            <w:gridSpan w:val="2"/>
          </w:tcPr>
          <w:p w14:paraId="717244E3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使用单位：</w:t>
            </w:r>
          </w:p>
        </w:tc>
      </w:tr>
      <w:tr w14:paraId="27F4B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53EEF1B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序号</w:t>
            </w:r>
          </w:p>
        </w:tc>
        <w:tc>
          <w:tcPr>
            <w:tcW w:w="938" w:type="dxa"/>
            <w:gridSpan w:val="2"/>
          </w:tcPr>
          <w:p w14:paraId="4F583D4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责任单位</w:t>
            </w:r>
          </w:p>
        </w:tc>
        <w:tc>
          <w:tcPr>
            <w:tcW w:w="950" w:type="dxa"/>
          </w:tcPr>
          <w:p w14:paraId="372E867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评价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项目</w:t>
            </w:r>
          </w:p>
        </w:tc>
        <w:tc>
          <w:tcPr>
            <w:tcW w:w="900" w:type="dxa"/>
            <w:gridSpan w:val="2"/>
          </w:tcPr>
          <w:p w14:paraId="720F7A1C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评价值</w:t>
            </w:r>
          </w:p>
        </w:tc>
        <w:tc>
          <w:tcPr>
            <w:tcW w:w="798" w:type="dxa"/>
            <w:gridSpan w:val="2"/>
          </w:tcPr>
          <w:p w14:paraId="02AB9D27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评价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分值</w:t>
            </w:r>
          </w:p>
        </w:tc>
        <w:tc>
          <w:tcPr>
            <w:tcW w:w="5578" w:type="dxa"/>
            <w:gridSpan w:val="5"/>
          </w:tcPr>
          <w:p w14:paraId="16811AC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指标释义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及考核评价方法</w:t>
            </w:r>
          </w:p>
        </w:tc>
      </w:tr>
      <w:tr w14:paraId="56CF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atLeast"/>
        </w:trPr>
        <w:tc>
          <w:tcPr>
            <w:tcW w:w="612" w:type="dxa"/>
          </w:tcPr>
          <w:p w14:paraId="04A33FD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</w:t>
            </w:r>
          </w:p>
        </w:tc>
        <w:tc>
          <w:tcPr>
            <w:tcW w:w="938" w:type="dxa"/>
            <w:gridSpan w:val="2"/>
          </w:tcPr>
          <w:p w14:paraId="6677DD35">
            <w:pPr>
              <w:spacing w:line="360" w:lineRule="auto"/>
              <w:ind w:right="132"/>
              <w:jc w:val="center"/>
              <w:rPr>
                <w:rFonts w:hint="eastAsia" w:ascii="宋体" w:hAnsi="宋体" w:eastAsia="宋体"/>
                <w:w w:val="11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供销部</w:t>
            </w:r>
          </w:p>
          <w:p w14:paraId="2650EDDB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4555BCC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44EB6677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785E9E7B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72F67AD5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7505447B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73C2D083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00B40F0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05E85268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50" w:type="dxa"/>
          </w:tcPr>
          <w:p w14:paraId="2403F90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有效资质</w:t>
            </w:r>
          </w:p>
        </w:tc>
        <w:tc>
          <w:tcPr>
            <w:tcW w:w="900" w:type="dxa"/>
            <w:gridSpan w:val="2"/>
          </w:tcPr>
          <w:p w14:paraId="0001B6F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7BE444E6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024F91E6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(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1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)遵守国家环境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保护相关政策、法规、标准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；</w:t>
            </w:r>
          </w:p>
          <w:p w14:paraId="7CD1CE49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(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2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)达到国家或地方污染物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排放、污染物总量控制目标及能耗指标；</w:t>
            </w:r>
          </w:p>
          <w:p w14:paraId="7315AF7A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(3)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供应商有关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管理体系（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供应链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、质量、环境、职业健康安全、能源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管理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等）</w:t>
            </w:r>
          </w:p>
          <w:p w14:paraId="713B68B7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(4)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供应商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提供的物料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及其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生产、物流、储存过程的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符合性；</w:t>
            </w:r>
          </w:p>
          <w:p w14:paraId="24C90E52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(5)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鼓励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供应商开展生态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设计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；</w:t>
            </w:r>
          </w:p>
          <w:p w14:paraId="73EAAA51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(6)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自身资源消耗、污染物排放、有害物质使用等进行有效管理；</w:t>
            </w:r>
          </w:p>
          <w:p w14:paraId="6545565A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(7)对有关其上级供应商的环境绩效、资源能源消耗、有害物质限制使用等方面进行管控。</w:t>
            </w:r>
          </w:p>
          <w:p w14:paraId="71887C6D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满足1条指标得1分，满足5条及以上指标得满分。</w:t>
            </w:r>
          </w:p>
        </w:tc>
      </w:tr>
      <w:tr w14:paraId="1AC23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3E960B56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2</w:t>
            </w:r>
          </w:p>
        </w:tc>
        <w:tc>
          <w:tcPr>
            <w:tcW w:w="938" w:type="dxa"/>
            <w:gridSpan w:val="2"/>
          </w:tcPr>
          <w:p w14:paraId="0546DCF4">
            <w:pPr>
              <w:spacing w:line="360" w:lineRule="auto"/>
              <w:ind w:right="132"/>
              <w:jc w:val="center"/>
              <w:rPr>
                <w:rFonts w:hint="eastAsia" w:ascii="宋体" w:hAnsi="宋体" w:eastAsia="宋体"/>
                <w:w w:val="11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供销部</w:t>
            </w:r>
          </w:p>
        </w:tc>
        <w:tc>
          <w:tcPr>
            <w:tcW w:w="950" w:type="dxa"/>
          </w:tcPr>
          <w:p w14:paraId="20FB8C6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供方性质</w:t>
            </w:r>
          </w:p>
        </w:tc>
        <w:tc>
          <w:tcPr>
            <w:tcW w:w="900" w:type="dxa"/>
            <w:gridSpan w:val="2"/>
          </w:tcPr>
          <w:p w14:paraId="4E99217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02D12AF6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59B4B623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直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 xml:space="preserve">供厂家得满分， 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中间商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得5分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24A1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0A10A5B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3</w:t>
            </w:r>
          </w:p>
        </w:tc>
        <w:tc>
          <w:tcPr>
            <w:tcW w:w="938" w:type="dxa"/>
            <w:gridSpan w:val="2"/>
          </w:tcPr>
          <w:p w14:paraId="4B8661E9">
            <w:pPr>
              <w:spacing w:line="360" w:lineRule="auto"/>
              <w:ind w:right="132"/>
              <w:jc w:val="center"/>
              <w:rPr>
                <w:rFonts w:hint="eastAsia" w:ascii="宋体" w:hAnsi="宋体" w:eastAsia="宋体"/>
                <w:w w:val="11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供销部</w:t>
            </w:r>
          </w:p>
          <w:p w14:paraId="200AC25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50" w:type="dxa"/>
          </w:tcPr>
          <w:p w14:paraId="4365352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计划完成率</w:t>
            </w:r>
          </w:p>
        </w:tc>
        <w:tc>
          <w:tcPr>
            <w:tcW w:w="900" w:type="dxa"/>
            <w:gridSpan w:val="2"/>
          </w:tcPr>
          <w:p w14:paraId="658A243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38B9192A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36737E04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实际进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厂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总数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量小于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计划进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厂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总数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量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时（使用单位调整计划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量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的情况除外）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为当月实际进厂总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数量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除以当月该类物资该供应商的计划进厂总数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量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*100%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7F76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4743782B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4</w:t>
            </w:r>
          </w:p>
        </w:tc>
        <w:tc>
          <w:tcPr>
            <w:tcW w:w="938" w:type="dxa"/>
            <w:gridSpan w:val="2"/>
          </w:tcPr>
          <w:p w14:paraId="24B0E306">
            <w:pPr>
              <w:spacing w:line="360" w:lineRule="auto"/>
              <w:ind w:right="132"/>
              <w:jc w:val="center"/>
              <w:rPr>
                <w:rFonts w:hint="default" w:ascii="宋体" w:hAnsi="宋体" w:eastAsia="宋体"/>
                <w:w w:val="11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生产技术中心</w:t>
            </w:r>
          </w:p>
        </w:tc>
        <w:tc>
          <w:tcPr>
            <w:tcW w:w="950" w:type="dxa"/>
          </w:tcPr>
          <w:p w14:paraId="645CE775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质量稳定性</w:t>
            </w:r>
          </w:p>
        </w:tc>
        <w:tc>
          <w:tcPr>
            <w:tcW w:w="900" w:type="dxa"/>
            <w:gridSpan w:val="2"/>
          </w:tcPr>
          <w:p w14:paraId="618AD87F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24816D73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25792066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根据某供应商某类物资的关键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质量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指标无不合格为满分，每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出现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l次/月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扣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3分，出现3次/月及以上为0分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1688B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4D7E43D7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5</w:t>
            </w:r>
          </w:p>
        </w:tc>
        <w:tc>
          <w:tcPr>
            <w:tcW w:w="938" w:type="dxa"/>
            <w:gridSpan w:val="2"/>
          </w:tcPr>
          <w:p w14:paraId="251A6B23">
            <w:pPr>
              <w:spacing w:line="360" w:lineRule="auto"/>
              <w:ind w:right="132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生产技术中心</w:t>
            </w:r>
          </w:p>
          <w:p w14:paraId="554148B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50" w:type="dxa"/>
          </w:tcPr>
          <w:p w14:paraId="275CBEF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质量指标合格率</w:t>
            </w:r>
          </w:p>
        </w:tc>
        <w:tc>
          <w:tcPr>
            <w:tcW w:w="900" w:type="dxa"/>
            <w:gridSpan w:val="2"/>
          </w:tcPr>
          <w:p w14:paraId="77BDE34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1E717A90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0D01DC13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超出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主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要指标控制范围5%以内（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含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5%)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或其它质杂指标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出现1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次/月不合格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扣5分；超出主要指标控制范围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5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%-10%（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含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10%)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或其它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质量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指标出现2次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/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月不合格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扣15分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；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超出主要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指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标控制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范围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10%以 上（不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含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10%)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或其它质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量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指标一月内出现3次/月及以上不合格为0分。</w:t>
            </w:r>
          </w:p>
        </w:tc>
      </w:tr>
      <w:tr w14:paraId="62E53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69C12435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6</w:t>
            </w:r>
          </w:p>
        </w:tc>
        <w:tc>
          <w:tcPr>
            <w:tcW w:w="938" w:type="dxa"/>
            <w:gridSpan w:val="2"/>
          </w:tcPr>
          <w:p w14:paraId="0F9FF15B">
            <w:pPr>
              <w:spacing w:line="360" w:lineRule="auto"/>
              <w:ind w:right="132"/>
              <w:jc w:val="center"/>
              <w:rPr>
                <w:rFonts w:hint="eastAsia" w:ascii="宋体" w:hAnsi="宋体" w:eastAsia="宋体"/>
                <w:w w:val="11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eastAsia="zh-CN"/>
              </w:rPr>
              <w:t>供销部</w:t>
            </w:r>
          </w:p>
        </w:tc>
        <w:tc>
          <w:tcPr>
            <w:tcW w:w="950" w:type="dxa"/>
          </w:tcPr>
          <w:p w14:paraId="49A4B7D5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诚信度</w:t>
            </w:r>
          </w:p>
        </w:tc>
        <w:tc>
          <w:tcPr>
            <w:tcW w:w="900" w:type="dxa"/>
            <w:gridSpan w:val="2"/>
          </w:tcPr>
          <w:p w14:paraId="5E0CA7B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79E282E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369DA605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有无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掺杂使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假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现象发生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。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未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出现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掺杂使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假为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满分，出现一次为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7C52A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419283D6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7</w:t>
            </w:r>
          </w:p>
        </w:tc>
        <w:tc>
          <w:tcPr>
            <w:tcW w:w="938" w:type="dxa"/>
            <w:gridSpan w:val="2"/>
          </w:tcPr>
          <w:p w14:paraId="3BB39F32">
            <w:pPr>
              <w:spacing w:line="360" w:lineRule="auto"/>
              <w:ind w:right="132"/>
              <w:rPr>
                <w:rFonts w:hint="eastAsia" w:ascii="宋体" w:hAnsi="宋体" w:eastAsia="宋体"/>
                <w:w w:val="11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调度指挥中心</w:t>
            </w:r>
          </w:p>
        </w:tc>
        <w:tc>
          <w:tcPr>
            <w:tcW w:w="950" w:type="dxa"/>
          </w:tcPr>
          <w:p w14:paraId="56A4D37A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工艺指标合格率</w:t>
            </w:r>
          </w:p>
        </w:tc>
        <w:tc>
          <w:tcPr>
            <w:tcW w:w="900" w:type="dxa"/>
            <w:gridSpan w:val="2"/>
          </w:tcPr>
          <w:p w14:paraId="13FAB01A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4AB3F60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5FBC4190">
            <w:pPr>
              <w:spacing w:line="360" w:lineRule="auto"/>
              <w:ind w:right="132"/>
              <w:jc w:val="left"/>
              <w:rPr>
                <w:rFonts w:ascii="宋体" w:hAnsi="宋体"/>
                <w:spacing w:val="-4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水分、粒度出现1次/月拒收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，扣5分；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出现2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次/月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拒收，扣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10分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；出现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3次/月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及以上拒收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或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影响生产为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0CBE3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5474BCB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8</w:t>
            </w:r>
          </w:p>
        </w:tc>
        <w:tc>
          <w:tcPr>
            <w:tcW w:w="938" w:type="dxa"/>
            <w:gridSpan w:val="2"/>
          </w:tcPr>
          <w:p w14:paraId="7F5B190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物资</w:t>
            </w: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管理部</w:t>
            </w:r>
          </w:p>
        </w:tc>
        <w:tc>
          <w:tcPr>
            <w:tcW w:w="950" w:type="dxa"/>
          </w:tcPr>
          <w:p w14:paraId="32926796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运输能力</w:t>
            </w:r>
          </w:p>
        </w:tc>
        <w:tc>
          <w:tcPr>
            <w:tcW w:w="900" w:type="dxa"/>
            <w:gridSpan w:val="2"/>
          </w:tcPr>
          <w:p w14:paraId="076779E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140DC937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483DACA9">
            <w:pPr>
              <w:spacing w:line="360" w:lineRule="auto"/>
              <w:ind w:right="132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除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自提外，当月出现运输组织问题，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每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出现一次扣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2分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，造成直接经济损失为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7C43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24902BDA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9</w:t>
            </w:r>
          </w:p>
        </w:tc>
        <w:tc>
          <w:tcPr>
            <w:tcW w:w="938" w:type="dxa"/>
            <w:gridSpan w:val="2"/>
          </w:tcPr>
          <w:p w14:paraId="3CFE2722">
            <w:pPr>
              <w:spacing w:line="360" w:lineRule="auto"/>
              <w:ind w:right="132"/>
              <w:rPr>
                <w:rFonts w:hint="eastAsia" w:ascii="宋体" w:hAnsi="宋体" w:eastAsia="宋体"/>
                <w:w w:val="11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调度指挥中心</w:t>
            </w:r>
          </w:p>
        </w:tc>
        <w:tc>
          <w:tcPr>
            <w:tcW w:w="950" w:type="dxa"/>
          </w:tcPr>
          <w:p w14:paraId="796B44B8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解决问题及时性</w:t>
            </w:r>
          </w:p>
        </w:tc>
        <w:tc>
          <w:tcPr>
            <w:tcW w:w="900" w:type="dxa"/>
            <w:gridSpan w:val="2"/>
          </w:tcPr>
          <w:p w14:paraId="0518F39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6E2A918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757FEF05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供货过程中出现的质量偏低、供货不及时等问题，供方按需方提出的期限纠正改进为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10分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，处理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1次/月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及以上不及时为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0分。</w:t>
            </w:r>
          </w:p>
        </w:tc>
      </w:tr>
      <w:tr w14:paraId="67B70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2AF90EE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10</w:t>
            </w:r>
          </w:p>
        </w:tc>
        <w:tc>
          <w:tcPr>
            <w:tcW w:w="938" w:type="dxa"/>
            <w:gridSpan w:val="2"/>
          </w:tcPr>
          <w:p w14:paraId="3737658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财务部</w:t>
            </w:r>
          </w:p>
        </w:tc>
        <w:tc>
          <w:tcPr>
            <w:tcW w:w="950" w:type="dxa"/>
          </w:tcPr>
          <w:p w14:paraId="636069F7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票据合规性</w:t>
            </w:r>
          </w:p>
        </w:tc>
        <w:tc>
          <w:tcPr>
            <w:tcW w:w="900" w:type="dxa"/>
            <w:gridSpan w:val="2"/>
          </w:tcPr>
          <w:p w14:paraId="31E5601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798" w:type="dxa"/>
            <w:gridSpan w:val="2"/>
          </w:tcPr>
          <w:p w14:paraId="2953FB8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78" w:type="dxa"/>
            <w:gridSpan w:val="5"/>
          </w:tcPr>
          <w:p w14:paraId="606F7A08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各项票据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合规为满分，票据出现不合规为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2006B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gridSpan w:val="2"/>
          </w:tcPr>
          <w:p w14:paraId="29B9F73B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总分</w:t>
            </w:r>
          </w:p>
        </w:tc>
        <w:tc>
          <w:tcPr>
            <w:tcW w:w="1471" w:type="dxa"/>
            <w:gridSpan w:val="2"/>
          </w:tcPr>
          <w:p w14:paraId="5CD79908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175" w:type="dxa"/>
            <w:gridSpan w:val="3"/>
          </w:tcPr>
          <w:p w14:paraId="5F7C7F4C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考评人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签字</w:t>
            </w:r>
          </w:p>
        </w:tc>
        <w:tc>
          <w:tcPr>
            <w:tcW w:w="1854" w:type="dxa"/>
            <w:gridSpan w:val="2"/>
          </w:tcPr>
          <w:p w14:paraId="1E0AB1D4">
            <w:pPr>
              <w:spacing w:line="360" w:lineRule="auto"/>
              <w:ind w:right="132"/>
              <w:jc w:val="center"/>
              <w:rPr>
                <w:rFonts w:hint="default" w:ascii="宋体" w:hAnsi="宋体" w:eastAsia="宋体"/>
                <w:w w:val="11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王海浪 吴凡凡 康志柄</w:t>
            </w:r>
          </w:p>
        </w:tc>
        <w:tc>
          <w:tcPr>
            <w:tcW w:w="1411" w:type="dxa"/>
            <w:gridSpan w:val="3"/>
          </w:tcPr>
          <w:p w14:paraId="2205985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采购主管</w:t>
            </w:r>
          </w:p>
        </w:tc>
        <w:tc>
          <w:tcPr>
            <w:tcW w:w="2836" w:type="dxa"/>
          </w:tcPr>
          <w:p w14:paraId="79E0A645">
            <w:pPr>
              <w:spacing w:line="360" w:lineRule="auto"/>
              <w:ind w:right="132"/>
              <w:jc w:val="center"/>
              <w:rPr>
                <w:rFonts w:hint="eastAsia" w:ascii="宋体" w:hAnsi="宋体" w:eastAsia="宋体"/>
                <w:color w:val="auto"/>
                <w:w w:val="11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w w:val="110"/>
                <w:sz w:val="24"/>
                <w:highlight w:val="none"/>
                <w:lang w:val="en-US" w:eastAsia="zh-CN"/>
              </w:rPr>
              <w:t>申建斌</w:t>
            </w:r>
          </w:p>
        </w:tc>
      </w:tr>
    </w:tbl>
    <w:p w14:paraId="2F5B19F1">
      <w:pPr>
        <w:spacing w:line="360" w:lineRule="auto"/>
        <w:ind w:right="132"/>
        <w:jc w:val="center"/>
        <w:rPr>
          <w:rFonts w:ascii="宋体" w:hAnsi="宋体"/>
          <w:w w:val="110"/>
          <w:sz w:val="24"/>
          <w:highlight w:val="none"/>
        </w:rPr>
      </w:pPr>
      <w:r>
        <w:rPr>
          <w:rFonts w:hint="eastAsia" w:ascii="宋体" w:hAnsi="宋体"/>
          <w:w w:val="110"/>
          <w:sz w:val="24"/>
          <w:highlight w:val="none"/>
        </w:rPr>
        <w:t>辅材</w:t>
      </w:r>
      <w:r>
        <w:rPr>
          <w:rFonts w:ascii="宋体" w:hAnsi="宋体"/>
          <w:w w:val="110"/>
          <w:sz w:val="24"/>
          <w:highlight w:val="none"/>
        </w:rPr>
        <w:t>备品备件供应商考核评价表</w:t>
      </w:r>
    </w:p>
    <w:tbl>
      <w:tblPr>
        <w:tblStyle w:val="6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090"/>
        <w:gridCol w:w="548"/>
        <w:gridCol w:w="403"/>
        <w:gridCol w:w="605"/>
        <w:gridCol w:w="6"/>
        <w:gridCol w:w="984"/>
        <w:gridCol w:w="1548"/>
        <w:gridCol w:w="721"/>
        <w:gridCol w:w="3259"/>
      </w:tblGrid>
      <w:tr w14:paraId="5D86C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gridSpan w:val="3"/>
          </w:tcPr>
          <w:p w14:paraId="476A8AF3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年度：202</w:t>
            </w: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年</w:t>
            </w:r>
          </w:p>
        </w:tc>
        <w:tc>
          <w:tcPr>
            <w:tcW w:w="3546" w:type="dxa"/>
            <w:gridSpan w:val="5"/>
          </w:tcPr>
          <w:p w14:paraId="62993295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市场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状况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：宽松 正常 紧张</w:t>
            </w:r>
          </w:p>
        </w:tc>
        <w:tc>
          <w:tcPr>
            <w:tcW w:w="3980" w:type="dxa"/>
            <w:gridSpan w:val="2"/>
          </w:tcPr>
          <w:p w14:paraId="27AF9CE7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物资类别：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 xml:space="preserve"> </w:t>
            </w:r>
          </w:p>
        </w:tc>
      </w:tr>
      <w:tr w14:paraId="4B965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10"/>
          </w:tcPr>
          <w:p w14:paraId="44400815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供应商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名称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：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 xml:space="preserve"> </w:t>
            </w:r>
          </w:p>
        </w:tc>
      </w:tr>
      <w:tr w14:paraId="325F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09FCBB58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序号</w:t>
            </w:r>
          </w:p>
        </w:tc>
        <w:tc>
          <w:tcPr>
            <w:tcW w:w="1091" w:type="dxa"/>
          </w:tcPr>
          <w:p w14:paraId="45D03048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指标类型</w:t>
            </w:r>
          </w:p>
        </w:tc>
        <w:tc>
          <w:tcPr>
            <w:tcW w:w="951" w:type="dxa"/>
            <w:gridSpan w:val="2"/>
          </w:tcPr>
          <w:p w14:paraId="4F84D5D5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评价指标</w:t>
            </w:r>
          </w:p>
        </w:tc>
        <w:tc>
          <w:tcPr>
            <w:tcW w:w="611" w:type="dxa"/>
            <w:gridSpan w:val="2"/>
          </w:tcPr>
          <w:p w14:paraId="33837C1A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评价值</w:t>
            </w:r>
          </w:p>
        </w:tc>
        <w:tc>
          <w:tcPr>
            <w:tcW w:w="984" w:type="dxa"/>
          </w:tcPr>
          <w:p w14:paraId="1085197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评价值范围</w:t>
            </w:r>
          </w:p>
        </w:tc>
        <w:tc>
          <w:tcPr>
            <w:tcW w:w="5528" w:type="dxa"/>
            <w:gridSpan w:val="3"/>
          </w:tcPr>
          <w:p w14:paraId="3B3AA4A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指标释义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及评价方法</w:t>
            </w:r>
          </w:p>
        </w:tc>
      </w:tr>
      <w:tr w14:paraId="619A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0AF069E0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</w:t>
            </w:r>
          </w:p>
        </w:tc>
        <w:tc>
          <w:tcPr>
            <w:tcW w:w="1091" w:type="dxa"/>
          </w:tcPr>
          <w:p w14:paraId="12DB590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有效资质</w:t>
            </w:r>
          </w:p>
          <w:p w14:paraId="3CF19EF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60E8BF5C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30D89C37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76B29AA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691BA1E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1D73403F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10F8A4E3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577A575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  <w:p w14:paraId="0EA99F78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51" w:type="dxa"/>
            <w:gridSpan w:val="2"/>
          </w:tcPr>
          <w:p w14:paraId="30C8065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611" w:type="dxa"/>
            <w:gridSpan w:val="2"/>
          </w:tcPr>
          <w:p w14:paraId="046F657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6E392DC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1BCAFED4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(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1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)遵守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国家环境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相关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政策、法规、标准；</w:t>
            </w:r>
          </w:p>
          <w:p w14:paraId="7B8245AD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(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2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)达到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国家或地方污染物排放、污染物总量控制目标及能耗指标；</w:t>
            </w:r>
          </w:p>
          <w:p w14:paraId="09C811D0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(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3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)供应商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有关管理体系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(供应链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、质量、环境、职业健康安全、能源管理等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)；</w:t>
            </w:r>
          </w:p>
          <w:p w14:paraId="22FC6748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(4)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供应商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提供的物料及其生产、物流、储存过程的符合性；</w:t>
            </w:r>
          </w:p>
          <w:p w14:paraId="50F061A4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(5)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鼓励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供应商开展生态设计；</w:t>
            </w:r>
          </w:p>
          <w:p w14:paraId="09163F46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(6)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自身资源消耗、污染物排放、有害物质使用等进行有效管理；</w:t>
            </w:r>
          </w:p>
          <w:p w14:paraId="21E1B07C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ascii="宋体" w:hAnsi="宋体"/>
                <w:w w:val="110"/>
                <w:sz w:val="24"/>
                <w:highlight w:val="none"/>
              </w:rPr>
              <w:t>(7)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有关其上级供应商的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环境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绩效、资源能源消耗、有害物质限制使用等方面进行管控。</w:t>
            </w:r>
          </w:p>
          <w:p w14:paraId="516DACC3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满足1条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指标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得1分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，满足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5条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及以上指标得满分。</w:t>
            </w:r>
          </w:p>
        </w:tc>
      </w:tr>
      <w:tr w14:paraId="6F88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1BFAC67A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2</w:t>
            </w:r>
          </w:p>
        </w:tc>
        <w:tc>
          <w:tcPr>
            <w:tcW w:w="1091" w:type="dxa"/>
            <w:vMerge w:val="restart"/>
          </w:tcPr>
          <w:p w14:paraId="015F743A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商务考核</w:t>
            </w:r>
          </w:p>
        </w:tc>
        <w:tc>
          <w:tcPr>
            <w:tcW w:w="951" w:type="dxa"/>
            <w:gridSpan w:val="2"/>
          </w:tcPr>
          <w:p w14:paraId="41FF1B3F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企业性质</w:t>
            </w:r>
          </w:p>
        </w:tc>
        <w:tc>
          <w:tcPr>
            <w:tcW w:w="611" w:type="dxa"/>
            <w:gridSpan w:val="2"/>
          </w:tcPr>
          <w:p w14:paraId="1D640543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52A3C73C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111DAA5D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属于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中间商、代理商还是直供厂家，直供厂家得满分，中间商、代理商得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4分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65F8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6E5BDCD6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3</w:t>
            </w:r>
          </w:p>
        </w:tc>
        <w:tc>
          <w:tcPr>
            <w:tcW w:w="1091" w:type="dxa"/>
            <w:vMerge w:val="continue"/>
          </w:tcPr>
          <w:p w14:paraId="427DF56B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51" w:type="dxa"/>
            <w:gridSpan w:val="2"/>
          </w:tcPr>
          <w:p w14:paraId="7C7C119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是否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强行供货</w:t>
            </w:r>
          </w:p>
        </w:tc>
        <w:tc>
          <w:tcPr>
            <w:tcW w:w="611" w:type="dxa"/>
            <w:gridSpan w:val="2"/>
          </w:tcPr>
          <w:p w14:paraId="7111B62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1F1DC3B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177EF7C4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某类物资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某供应商，实际进厂总数量超过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计划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进厂总数量的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20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%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时，属于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强行供货，本项指标得分为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0。</w:t>
            </w:r>
          </w:p>
        </w:tc>
      </w:tr>
      <w:tr w14:paraId="27141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30DA67B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4</w:t>
            </w:r>
          </w:p>
        </w:tc>
        <w:tc>
          <w:tcPr>
            <w:tcW w:w="1091" w:type="dxa"/>
            <w:vMerge w:val="continue"/>
          </w:tcPr>
          <w:p w14:paraId="221CE725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51" w:type="dxa"/>
            <w:gridSpan w:val="2"/>
          </w:tcPr>
          <w:p w14:paraId="4BA0030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诚信度</w:t>
            </w:r>
          </w:p>
        </w:tc>
        <w:tc>
          <w:tcPr>
            <w:tcW w:w="611" w:type="dxa"/>
            <w:gridSpan w:val="2"/>
          </w:tcPr>
          <w:p w14:paraId="2ECB78C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1AD1E7C7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2836E5D1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对企业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的信誉情况，有无违约记录，企业负责人品质等综合评价。</w:t>
            </w:r>
          </w:p>
        </w:tc>
      </w:tr>
      <w:tr w14:paraId="0B0B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597FD49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5</w:t>
            </w:r>
          </w:p>
        </w:tc>
        <w:tc>
          <w:tcPr>
            <w:tcW w:w="1091" w:type="dxa"/>
            <w:vMerge w:val="continue"/>
          </w:tcPr>
          <w:p w14:paraId="07EC75B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51" w:type="dxa"/>
            <w:gridSpan w:val="2"/>
          </w:tcPr>
          <w:p w14:paraId="67E9FE2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价格变动性</w:t>
            </w:r>
          </w:p>
        </w:tc>
        <w:tc>
          <w:tcPr>
            <w:tcW w:w="611" w:type="dxa"/>
            <w:gridSpan w:val="2"/>
          </w:tcPr>
          <w:p w14:paraId="328FEEC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46A1A95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3E05B474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市场紧张时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，价格维持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不变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的得满分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合理上涨的得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0.8分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，不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合理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上涨的得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；市场正常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时，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同意我公司提出降价的得满分，价格不变的得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0.8分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，价格上涨的得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；市场宽松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时，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主动降价的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得满分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，同意我公司提出降价的得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0.8分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，价格不变和价格上涨的得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0分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12BA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2FE18867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6</w:t>
            </w:r>
          </w:p>
        </w:tc>
        <w:tc>
          <w:tcPr>
            <w:tcW w:w="1091" w:type="dxa"/>
          </w:tcPr>
          <w:p w14:paraId="0A18877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技术考核</w:t>
            </w:r>
          </w:p>
        </w:tc>
        <w:tc>
          <w:tcPr>
            <w:tcW w:w="951" w:type="dxa"/>
            <w:gridSpan w:val="2"/>
          </w:tcPr>
          <w:p w14:paraId="07D4F6DF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质量合格率</w:t>
            </w:r>
          </w:p>
        </w:tc>
        <w:tc>
          <w:tcPr>
            <w:tcW w:w="611" w:type="dxa"/>
            <w:gridSpan w:val="2"/>
          </w:tcPr>
          <w:p w14:paraId="40DC5DC0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378E17F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401D8994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是否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按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合同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要求的指定生产厂家及标准。</w:t>
            </w:r>
          </w:p>
        </w:tc>
      </w:tr>
      <w:tr w14:paraId="592C2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16317DD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7</w:t>
            </w:r>
          </w:p>
        </w:tc>
        <w:tc>
          <w:tcPr>
            <w:tcW w:w="1091" w:type="dxa"/>
          </w:tcPr>
          <w:p w14:paraId="76CD0550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销售渠道</w:t>
            </w:r>
          </w:p>
        </w:tc>
        <w:tc>
          <w:tcPr>
            <w:tcW w:w="951" w:type="dxa"/>
            <w:gridSpan w:val="2"/>
          </w:tcPr>
          <w:p w14:paraId="129E335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销售渠道</w:t>
            </w:r>
          </w:p>
        </w:tc>
        <w:tc>
          <w:tcPr>
            <w:tcW w:w="611" w:type="dxa"/>
            <w:gridSpan w:val="2"/>
          </w:tcPr>
          <w:p w14:paraId="74FDEC4A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706E693B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04B2F6FB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从供应商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角度看，我公司属于供应商的那种销售渠道，即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我公司在供应商销售渠道中的地位做评价。</w:t>
            </w:r>
          </w:p>
        </w:tc>
      </w:tr>
      <w:tr w14:paraId="628F7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34E1F0F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8</w:t>
            </w:r>
          </w:p>
        </w:tc>
        <w:tc>
          <w:tcPr>
            <w:tcW w:w="1091" w:type="dxa"/>
          </w:tcPr>
          <w:p w14:paraId="2E5BEA9C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货源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稳定性</w:t>
            </w:r>
          </w:p>
        </w:tc>
        <w:tc>
          <w:tcPr>
            <w:tcW w:w="951" w:type="dxa"/>
            <w:gridSpan w:val="2"/>
          </w:tcPr>
          <w:p w14:paraId="1E3E8278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货源稳定性</w:t>
            </w:r>
          </w:p>
        </w:tc>
        <w:tc>
          <w:tcPr>
            <w:tcW w:w="611" w:type="dxa"/>
            <w:gridSpan w:val="2"/>
          </w:tcPr>
          <w:p w14:paraId="43EAF23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3258F456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377D63BF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货源的数量和质量方面的供应稳定性评价。</w:t>
            </w:r>
          </w:p>
        </w:tc>
      </w:tr>
      <w:tr w14:paraId="45CE8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04636CA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9</w:t>
            </w:r>
          </w:p>
        </w:tc>
        <w:tc>
          <w:tcPr>
            <w:tcW w:w="1091" w:type="dxa"/>
          </w:tcPr>
          <w:p w14:paraId="031418C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质量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稳定性</w:t>
            </w:r>
          </w:p>
        </w:tc>
        <w:tc>
          <w:tcPr>
            <w:tcW w:w="951" w:type="dxa"/>
            <w:gridSpan w:val="2"/>
          </w:tcPr>
          <w:p w14:paraId="18F6256B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质量稳定性</w:t>
            </w:r>
          </w:p>
        </w:tc>
        <w:tc>
          <w:tcPr>
            <w:tcW w:w="611" w:type="dxa"/>
            <w:gridSpan w:val="2"/>
          </w:tcPr>
          <w:p w14:paraId="6A597AC3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21FD853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78353622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根据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某供应商某物资的进厂质量的波动情况评价。</w:t>
            </w:r>
          </w:p>
        </w:tc>
      </w:tr>
      <w:tr w14:paraId="5E32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2BF3B0D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10</w:t>
            </w:r>
          </w:p>
        </w:tc>
        <w:tc>
          <w:tcPr>
            <w:tcW w:w="1091" w:type="dxa"/>
          </w:tcPr>
          <w:p w14:paraId="3AA08DE8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是否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按期供货</w:t>
            </w:r>
          </w:p>
        </w:tc>
        <w:tc>
          <w:tcPr>
            <w:tcW w:w="951" w:type="dxa"/>
            <w:gridSpan w:val="2"/>
          </w:tcPr>
          <w:p w14:paraId="2E917E2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是否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按期供货</w:t>
            </w:r>
          </w:p>
        </w:tc>
        <w:tc>
          <w:tcPr>
            <w:tcW w:w="611" w:type="dxa"/>
            <w:gridSpan w:val="2"/>
          </w:tcPr>
          <w:p w14:paraId="34D22A4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64D02F1E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49199C93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在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合同约定的时间内得满分。</w:t>
            </w:r>
          </w:p>
        </w:tc>
      </w:tr>
      <w:tr w14:paraId="56014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5FD338CF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11</w:t>
            </w:r>
          </w:p>
        </w:tc>
        <w:tc>
          <w:tcPr>
            <w:tcW w:w="1091" w:type="dxa"/>
          </w:tcPr>
          <w:p w14:paraId="0B3A799C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询价单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回复及时性</w:t>
            </w:r>
          </w:p>
        </w:tc>
        <w:tc>
          <w:tcPr>
            <w:tcW w:w="951" w:type="dxa"/>
            <w:gridSpan w:val="2"/>
          </w:tcPr>
          <w:p w14:paraId="0360003A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询价单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回复及时性</w:t>
            </w:r>
          </w:p>
        </w:tc>
        <w:tc>
          <w:tcPr>
            <w:tcW w:w="611" w:type="dxa"/>
            <w:gridSpan w:val="2"/>
          </w:tcPr>
          <w:p w14:paraId="659032C5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36681A9C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62F7AC11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是否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按询价表规定时间内回复报价。</w:t>
            </w:r>
          </w:p>
        </w:tc>
      </w:tr>
      <w:tr w14:paraId="18DBB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1CF7CA7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12</w:t>
            </w:r>
          </w:p>
        </w:tc>
        <w:tc>
          <w:tcPr>
            <w:tcW w:w="1091" w:type="dxa"/>
          </w:tcPr>
          <w:p w14:paraId="2967601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运输能力</w:t>
            </w:r>
          </w:p>
        </w:tc>
        <w:tc>
          <w:tcPr>
            <w:tcW w:w="951" w:type="dxa"/>
            <w:gridSpan w:val="2"/>
          </w:tcPr>
          <w:p w14:paraId="38C943A4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运输能力</w:t>
            </w:r>
          </w:p>
        </w:tc>
        <w:tc>
          <w:tcPr>
            <w:tcW w:w="611" w:type="dxa"/>
            <w:gridSpan w:val="2"/>
          </w:tcPr>
          <w:p w14:paraId="17CE81CB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0B8A5B00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496E1916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供应商的铁路计划批复能力（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火运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）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/车辆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组织能力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(汽运)评价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。</w:t>
            </w:r>
          </w:p>
        </w:tc>
      </w:tr>
      <w:tr w14:paraId="7401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68D65FD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13</w:t>
            </w:r>
          </w:p>
        </w:tc>
        <w:tc>
          <w:tcPr>
            <w:tcW w:w="1091" w:type="dxa"/>
          </w:tcPr>
          <w:p w14:paraId="3D99ECA2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是否对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质量进行回访</w:t>
            </w:r>
          </w:p>
        </w:tc>
        <w:tc>
          <w:tcPr>
            <w:tcW w:w="951" w:type="dxa"/>
            <w:gridSpan w:val="2"/>
          </w:tcPr>
          <w:p w14:paraId="7D4276A6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是否对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质量进行回访</w:t>
            </w:r>
          </w:p>
        </w:tc>
        <w:tc>
          <w:tcPr>
            <w:tcW w:w="611" w:type="dxa"/>
            <w:gridSpan w:val="2"/>
          </w:tcPr>
          <w:p w14:paraId="5E87B3B5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09AC440C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3304128C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对于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我公司使用的重要备件使用后是否询问使用情况。</w:t>
            </w:r>
          </w:p>
        </w:tc>
      </w:tr>
      <w:tr w14:paraId="58A3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 w14:paraId="7162C869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14</w:t>
            </w:r>
          </w:p>
        </w:tc>
        <w:tc>
          <w:tcPr>
            <w:tcW w:w="1091" w:type="dxa"/>
          </w:tcPr>
          <w:p w14:paraId="18DF0A36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争议解决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的及时性</w:t>
            </w:r>
          </w:p>
        </w:tc>
        <w:tc>
          <w:tcPr>
            <w:tcW w:w="951" w:type="dxa"/>
            <w:gridSpan w:val="2"/>
          </w:tcPr>
          <w:p w14:paraId="6C57F71C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争议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解决的及时性</w:t>
            </w:r>
          </w:p>
        </w:tc>
        <w:tc>
          <w:tcPr>
            <w:tcW w:w="611" w:type="dxa"/>
            <w:gridSpan w:val="2"/>
          </w:tcPr>
          <w:p w14:paraId="1376183D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984" w:type="dxa"/>
          </w:tcPr>
          <w:p w14:paraId="26075AC1">
            <w:pPr>
              <w:spacing w:line="360" w:lineRule="auto"/>
              <w:ind w:right="132"/>
              <w:jc w:val="center"/>
              <w:rPr>
                <w:rFonts w:ascii="宋体" w:hAnsi="宋体"/>
                <w:w w:val="110"/>
                <w:sz w:val="24"/>
                <w:highlight w:val="none"/>
              </w:rPr>
            </w:pPr>
          </w:p>
        </w:tc>
        <w:tc>
          <w:tcPr>
            <w:tcW w:w="5528" w:type="dxa"/>
            <w:gridSpan w:val="3"/>
          </w:tcPr>
          <w:p w14:paraId="0CAB3CE2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对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供货过程中出现的质量偏低、供货不及时、票据出错等问题，供方是否按需方提出的期限纠正改进，对处理及时性作评价。</w:t>
            </w:r>
          </w:p>
        </w:tc>
      </w:tr>
      <w:tr w14:paraId="04D7A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10"/>
          </w:tcPr>
          <w:p w14:paraId="10EAA415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 xml:space="preserve">总分： 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分</w:t>
            </w:r>
          </w:p>
        </w:tc>
      </w:tr>
      <w:tr w14:paraId="1E56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10"/>
          </w:tcPr>
          <w:p w14:paraId="079DAE8B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等级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：</w:t>
            </w:r>
          </w:p>
        </w:tc>
      </w:tr>
      <w:tr w14:paraId="1499F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5"/>
          </w:tcPr>
          <w:p w14:paraId="0A579D22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评价人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签字：</w:t>
            </w:r>
          </w:p>
        </w:tc>
        <w:tc>
          <w:tcPr>
            <w:tcW w:w="3259" w:type="dxa"/>
            <w:gridSpan w:val="4"/>
          </w:tcPr>
          <w:p w14:paraId="103AA9EC">
            <w:pPr>
              <w:spacing w:line="360" w:lineRule="auto"/>
              <w:ind w:right="132"/>
              <w:jc w:val="left"/>
              <w:rPr>
                <w:rFonts w:hint="eastAsia" w:ascii="宋体" w:hAnsi="宋体" w:eastAsia="宋体"/>
                <w:w w:val="11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使用部门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：</w:t>
            </w:r>
            <w:r>
              <w:rPr>
                <w:rFonts w:hint="eastAsia" w:ascii="宋体" w:hAnsi="宋体"/>
                <w:w w:val="110"/>
                <w:sz w:val="24"/>
                <w:highlight w:val="none"/>
                <w:lang w:val="en-US" w:eastAsia="zh-CN"/>
              </w:rPr>
              <w:t>康志柄</w:t>
            </w:r>
          </w:p>
        </w:tc>
        <w:tc>
          <w:tcPr>
            <w:tcW w:w="3259" w:type="dxa"/>
          </w:tcPr>
          <w:p w14:paraId="1D607F05">
            <w:pPr>
              <w:spacing w:line="360" w:lineRule="auto"/>
              <w:ind w:right="132"/>
              <w:jc w:val="left"/>
              <w:rPr>
                <w:rFonts w:ascii="宋体" w:hAnsi="宋体"/>
                <w:w w:val="110"/>
                <w:sz w:val="24"/>
                <w:highlight w:val="none"/>
              </w:rPr>
            </w:pPr>
            <w:r>
              <w:rPr>
                <w:rFonts w:hint="eastAsia" w:ascii="宋体" w:hAnsi="宋体"/>
                <w:w w:val="110"/>
                <w:sz w:val="24"/>
                <w:highlight w:val="none"/>
              </w:rPr>
              <w:t>审计人员</w:t>
            </w:r>
            <w:r>
              <w:rPr>
                <w:rFonts w:ascii="宋体" w:hAnsi="宋体"/>
                <w:w w:val="110"/>
                <w:sz w:val="24"/>
                <w:highlight w:val="none"/>
              </w:rPr>
              <w:t>：</w:t>
            </w:r>
          </w:p>
        </w:tc>
      </w:tr>
    </w:tbl>
    <w:p w14:paraId="14297FA7">
      <w:pPr>
        <w:spacing w:line="360" w:lineRule="auto"/>
        <w:ind w:right="132"/>
        <w:jc w:val="center"/>
        <w:rPr>
          <w:rFonts w:ascii="宋体" w:hAnsi="宋体"/>
          <w:w w:val="110"/>
          <w:sz w:val="24"/>
          <w:highlight w:val="none"/>
        </w:rPr>
      </w:pPr>
    </w:p>
    <w:p w14:paraId="5E0D7035">
      <w:pPr>
        <w:spacing w:line="360" w:lineRule="auto"/>
        <w:ind w:right="132"/>
        <w:rPr>
          <w:rFonts w:ascii="宋体" w:hAnsi="宋体"/>
          <w:b/>
          <w:w w:val="110"/>
          <w:sz w:val="24"/>
          <w:highlight w:val="none"/>
        </w:rPr>
      </w:pPr>
      <w:r>
        <w:rPr>
          <w:rFonts w:hint="eastAsia" w:ascii="宋体" w:hAnsi="宋体"/>
          <w:b/>
          <w:w w:val="110"/>
          <w:sz w:val="24"/>
          <w:highlight w:val="none"/>
        </w:rPr>
        <w:t>4.7.风险评估结论</w:t>
      </w:r>
    </w:p>
    <w:p w14:paraId="53B8BFFD">
      <w:pPr>
        <w:pStyle w:val="2"/>
        <w:spacing w:line="360" w:lineRule="auto"/>
        <w:ind w:firstLine="528" w:firstLineChars="200"/>
        <w:rPr>
          <w:w w:val="105"/>
          <w:sz w:val="24"/>
          <w:szCs w:val="24"/>
          <w:highlight w:val="none"/>
          <w:lang w:eastAsia="zh-CN"/>
        </w:rPr>
      </w:pPr>
      <w:r>
        <w:rPr>
          <w:rFonts w:hint="eastAsia"/>
          <w:w w:val="110"/>
          <w:sz w:val="24"/>
          <w:szCs w:val="24"/>
          <w:highlight w:val="none"/>
          <w:lang w:eastAsia="zh-CN"/>
        </w:rPr>
        <w:t>本次</w:t>
      </w:r>
      <w:r>
        <w:rPr>
          <w:w w:val="110"/>
          <w:sz w:val="24"/>
          <w:szCs w:val="24"/>
          <w:highlight w:val="none"/>
          <w:lang w:eastAsia="zh-CN"/>
        </w:rPr>
        <w:t>共计对</w:t>
      </w:r>
      <w:r>
        <w:rPr>
          <w:rFonts w:hint="eastAsia"/>
          <w:w w:val="110"/>
          <w:sz w:val="24"/>
          <w:szCs w:val="24"/>
          <w:highlight w:val="none"/>
          <w:lang w:val="en-US" w:eastAsia="zh-CN"/>
        </w:rPr>
        <w:t>95</w:t>
      </w:r>
      <w:r>
        <w:rPr>
          <w:rFonts w:hint="eastAsia"/>
          <w:w w:val="110"/>
          <w:sz w:val="24"/>
          <w:szCs w:val="24"/>
          <w:highlight w:val="none"/>
          <w:lang w:eastAsia="zh-CN"/>
        </w:rPr>
        <w:t>家</w:t>
      </w:r>
      <w:r>
        <w:rPr>
          <w:w w:val="110"/>
          <w:sz w:val="24"/>
          <w:szCs w:val="24"/>
          <w:highlight w:val="none"/>
          <w:lang w:eastAsia="zh-CN"/>
        </w:rPr>
        <w:t>供应商</w:t>
      </w:r>
      <w:r>
        <w:rPr>
          <w:sz w:val="24"/>
          <w:szCs w:val="24"/>
          <w:highlight w:val="none"/>
          <w:lang w:eastAsia="zh-CN"/>
        </w:rPr>
        <w:t>进行了年度风险评估，对</w:t>
      </w:r>
      <w:r>
        <w:rPr>
          <w:rFonts w:hint="eastAsia"/>
          <w:sz w:val="24"/>
          <w:szCs w:val="24"/>
          <w:highlight w:val="none"/>
          <w:lang w:val="en-US" w:eastAsia="zh-CN"/>
        </w:rPr>
        <w:t>优秀</w:t>
      </w:r>
      <w:r>
        <w:rPr>
          <w:sz w:val="24"/>
          <w:szCs w:val="24"/>
          <w:highlight w:val="none"/>
          <w:lang w:eastAsia="zh-CN"/>
        </w:rPr>
        <w:t>、</w:t>
      </w:r>
      <w:r>
        <w:rPr>
          <w:rFonts w:hint="eastAsia"/>
          <w:sz w:val="24"/>
          <w:szCs w:val="24"/>
          <w:highlight w:val="none"/>
          <w:lang w:val="en-US" w:eastAsia="zh-CN"/>
        </w:rPr>
        <w:t>合格</w:t>
      </w:r>
      <w:r>
        <w:rPr>
          <w:spacing w:val="5"/>
          <w:sz w:val="24"/>
          <w:szCs w:val="24"/>
          <w:highlight w:val="none"/>
          <w:lang w:eastAsia="zh-CN"/>
        </w:rPr>
        <w:t>供应商审核率为</w:t>
      </w:r>
      <w:r>
        <w:rPr>
          <w:spacing w:val="-7"/>
          <w:sz w:val="24"/>
          <w:szCs w:val="24"/>
          <w:highlight w:val="none"/>
          <w:lang w:eastAsia="zh-CN"/>
        </w:rPr>
        <w:t>100</w:t>
      </w:r>
      <w:r>
        <w:rPr>
          <w:spacing w:val="-2"/>
          <w:sz w:val="24"/>
          <w:szCs w:val="24"/>
          <w:highlight w:val="none"/>
          <w:lang w:eastAsia="zh-CN"/>
        </w:rPr>
        <w:t>%</w:t>
      </w:r>
      <w:r>
        <w:rPr>
          <w:rFonts w:hint="eastAsia"/>
          <w:spacing w:val="-2"/>
          <w:sz w:val="24"/>
          <w:szCs w:val="24"/>
          <w:highlight w:val="none"/>
          <w:lang w:eastAsia="zh-CN"/>
        </w:rPr>
        <w:t>，</w:t>
      </w:r>
      <w:r>
        <w:rPr>
          <w:sz w:val="24"/>
          <w:szCs w:val="24"/>
          <w:highlight w:val="none"/>
          <w:lang w:eastAsia="zh-CN"/>
        </w:rPr>
        <w:t>由</w:t>
      </w:r>
      <w:r>
        <w:rPr>
          <w:rFonts w:hint="eastAsia"/>
          <w:sz w:val="24"/>
          <w:szCs w:val="24"/>
          <w:highlight w:val="none"/>
          <w:lang w:eastAsia="zh-CN"/>
        </w:rPr>
        <w:t>供销部</w:t>
      </w:r>
      <w:r>
        <w:rPr>
          <w:sz w:val="24"/>
          <w:szCs w:val="24"/>
          <w:highlight w:val="none"/>
          <w:lang w:eastAsia="zh-CN"/>
        </w:rPr>
        <w:t>成立供应商风险</w:t>
      </w:r>
      <w:r>
        <w:rPr>
          <w:rFonts w:hint="eastAsia"/>
          <w:sz w:val="24"/>
          <w:szCs w:val="24"/>
          <w:highlight w:val="none"/>
          <w:lang w:eastAsia="zh-CN"/>
        </w:rPr>
        <w:t>评价小组</w:t>
      </w:r>
      <w:r>
        <w:rPr>
          <w:sz w:val="24"/>
          <w:szCs w:val="24"/>
          <w:highlight w:val="none"/>
          <w:lang w:eastAsia="zh-CN"/>
        </w:rPr>
        <w:t>， 组长为</w:t>
      </w:r>
      <w:r>
        <w:rPr>
          <w:rFonts w:hint="eastAsia"/>
          <w:sz w:val="24"/>
          <w:szCs w:val="24"/>
          <w:highlight w:val="none"/>
          <w:lang w:val="en-US" w:eastAsia="zh-CN"/>
        </w:rPr>
        <w:t>供销部经理冯志亮</w:t>
      </w:r>
      <w:r>
        <w:rPr>
          <w:rFonts w:hint="eastAsia"/>
          <w:spacing w:val="3"/>
          <w:sz w:val="24"/>
          <w:szCs w:val="24"/>
          <w:highlight w:val="none"/>
          <w:lang w:eastAsia="zh-CN"/>
        </w:rPr>
        <w:t>，</w:t>
      </w:r>
      <w:r>
        <w:rPr>
          <w:spacing w:val="-8"/>
          <w:sz w:val="24"/>
          <w:szCs w:val="24"/>
          <w:highlight w:val="none"/>
          <w:lang w:eastAsia="zh-CN"/>
        </w:rPr>
        <w:t>评</w:t>
      </w:r>
      <w:r>
        <w:rPr>
          <w:spacing w:val="5"/>
          <w:sz w:val="24"/>
          <w:szCs w:val="24"/>
          <w:highlight w:val="none"/>
          <w:lang w:eastAsia="zh-CN"/>
        </w:rPr>
        <w:t>估</w:t>
      </w:r>
      <w:r>
        <w:rPr>
          <w:spacing w:val="-1"/>
          <w:sz w:val="24"/>
          <w:szCs w:val="24"/>
          <w:highlight w:val="none"/>
          <w:lang w:eastAsia="zh-CN"/>
        </w:rPr>
        <w:t>小组成员为</w:t>
      </w:r>
      <w:r>
        <w:rPr>
          <w:rFonts w:hint="eastAsia"/>
          <w:spacing w:val="-1"/>
          <w:sz w:val="24"/>
          <w:szCs w:val="24"/>
          <w:highlight w:val="none"/>
          <w:lang w:val="en-US" w:eastAsia="zh-CN"/>
        </w:rPr>
        <w:t>生产技术中心</w:t>
      </w:r>
      <w:r>
        <w:rPr>
          <w:rFonts w:hint="eastAsia"/>
          <w:spacing w:val="-1"/>
          <w:sz w:val="24"/>
          <w:szCs w:val="24"/>
          <w:highlight w:val="none"/>
          <w:lang w:eastAsia="zh-CN"/>
        </w:rPr>
        <w:t>、</w:t>
      </w:r>
      <w:r>
        <w:rPr>
          <w:rFonts w:hint="eastAsia"/>
          <w:sz w:val="24"/>
          <w:szCs w:val="24"/>
          <w:highlight w:val="none"/>
          <w:lang w:val="en-US" w:eastAsia="zh-CN"/>
        </w:rPr>
        <w:t>调度指挥中心</w:t>
      </w:r>
      <w:r>
        <w:rPr>
          <w:sz w:val="24"/>
          <w:szCs w:val="24"/>
          <w:highlight w:val="none"/>
          <w:lang w:eastAsia="zh-CN"/>
        </w:rPr>
        <w:t>、</w:t>
      </w:r>
      <w:bookmarkStart w:id="0" w:name="_GoBack"/>
      <w:bookmarkEnd w:id="0"/>
      <w:r>
        <w:rPr>
          <w:spacing w:val="-6"/>
          <w:sz w:val="24"/>
          <w:szCs w:val="24"/>
          <w:highlight w:val="none"/>
          <w:lang w:eastAsia="zh-CN"/>
        </w:rPr>
        <w:t>财务部</w:t>
      </w:r>
      <w:r>
        <w:rPr>
          <w:rFonts w:hint="eastAsia"/>
          <w:spacing w:val="-56"/>
          <w:sz w:val="24"/>
          <w:szCs w:val="24"/>
          <w:highlight w:val="none"/>
          <w:lang w:eastAsia="zh-CN"/>
        </w:rPr>
        <w:t>、</w:t>
      </w:r>
      <w:r>
        <w:rPr>
          <w:rFonts w:hint="eastAsia"/>
          <w:spacing w:val="-8"/>
          <w:sz w:val="24"/>
          <w:szCs w:val="24"/>
          <w:highlight w:val="none"/>
          <w:lang w:val="en-US" w:eastAsia="zh-CN"/>
        </w:rPr>
        <w:t>供销</w:t>
      </w:r>
      <w:r>
        <w:rPr>
          <w:rFonts w:hint="eastAsia"/>
          <w:spacing w:val="-8"/>
          <w:sz w:val="24"/>
          <w:szCs w:val="24"/>
          <w:highlight w:val="none"/>
          <w:lang w:eastAsia="zh-CN"/>
        </w:rPr>
        <w:t>部</w:t>
      </w:r>
      <w:r>
        <w:rPr>
          <w:spacing w:val="-8"/>
          <w:sz w:val="24"/>
          <w:szCs w:val="24"/>
          <w:highlight w:val="none"/>
          <w:lang w:eastAsia="zh-CN"/>
        </w:rPr>
        <w:t>相关人员</w:t>
      </w:r>
      <w:r>
        <w:rPr>
          <w:rFonts w:hint="eastAsia"/>
          <w:spacing w:val="-23"/>
          <w:sz w:val="24"/>
          <w:szCs w:val="24"/>
          <w:highlight w:val="none"/>
          <w:lang w:eastAsia="zh-CN"/>
        </w:rPr>
        <w:t>，</w:t>
      </w:r>
      <w:r>
        <w:rPr>
          <w:sz w:val="24"/>
          <w:szCs w:val="24"/>
          <w:highlight w:val="none"/>
          <w:lang w:eastAsia="zh-CN"/>
        </w:rPr>
        <w:t>共同对供应商进行风险评估打分</w:t>
      </w:r>
      <w:r>
        <w:rPr>
          <w:w w:val="105"/>
          <w:sz w:val="24"/>
          <w:szCs w:val="24"/>
          <w:highlight w:val="none"/>
          <w:lang w:eastAsia="zh-CN"/>
        </w:rPr>
        <w:t>评价。评估结果如下</w:t>
      </w:r>
      <w:r>
        <w:rPr>
          <w:rFonts w:hint="eastAsia"/>
          <w:w w:val="105"/>
          <w:sz w:val="24"/>
          <w:szCs w:val="24"/>
          <w:highlight w:val="none"/>
          <w:lang w:eastAsia="zh-CN"/>
        </w:rPr>
        <w:t>：</w:t>
      </w:r>
    </w:p>
    <w:p w14:paraId="3D5C8D00">
      <w:pPr>
        <w:pStyle w:val="2"/>
        <w:spacing w:line="360" w:lineRule="auto"/>
        <w:jc w:val="center"/>
        <w:rPr>
          <w:w w:val="105"/>
          <w:sz w:val="24"/>
          <w:szCs w:val="24"/>
          <w:highlight w:val="none"/>
          <w:lang w:eastAsia="zh-CN"/>
        </w:rPr>
      </w:pPr>
      <w:r>
        <w:rPr>
          <w:rFonts w:hint="eastAsia"/>
          <w:w w:val="105"/>
          <w:sz w:val="24"/>
          <w:szCs w:val="24"/>
          <w:highlight w:val="none"/>
          <w:lang w:eastAsia="zh-CN"/>
        </w:rPr>
        <w:t>表格2 风险</w:t>
      </w:r>
      <w:r>
        <w:rPr>
          <w:w w:val="105"/>
          <w:sz w:val="24"/>
          <w:szCs w:val="24"/>
          <w:highlight w:val="none"/>
          <w:lang w:eastAsia="zh-CN"/>
        </w:rPr>
        <w:t>评估结果</w:t>
      </w:r>
    </w:p>
    <w:tbl>
      <w:tblPr>
        <w:tblStyle w:val="6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402"/>
      </w:tblGrid>
      <w:tr w14:paraId="11FF0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78504639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分险等级</w:t>
            </w:r>
          </w:p>
        </w:tc>
        <w:tc>
          <w:tcPr>
            <w:tcW w:w="3260" w:type="dxa"/>
          </w:tcPr>
          <w:p w14:paraId="29D0A621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3402" w:type="dxa"/>
          </w:tcPr>
          <w:p w14:paraId="1D5AFD52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202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年</w:t>
            </w:r>
          </w:p>
        </w:tc>
      </w:tr>
      <w:tr w14:paraId="2529D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3CCCE691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A（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优秀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3260" w:type="dxa"/>
          </w:tcPr>
          <w:p w14:paraId="01261E16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家</w:t>
            </w:r>
          </w:p>
        </w:tc>
        <w:tc>
          <w:tcPr>
            <w:tcW w:w="3402" w:type="dxa"/>
          </w:tcPr>
          <w:p w14:paraId="34EEBC64">
            <w:pPr>
              <w:pStyle w:val="2"/>
              <w:spacing w:line="360" w:lineRule="auto"/>
              <w:jc w:val="center"/>
              <w:rPr>
                <w:rFonts w:hint="default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71</w:t>
            </w:r>
          </w:p>
        </w:tc>
      </w:tr>
      <w:tr w14:paraId="2F3E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21441214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B（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合格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3260" w:type="dxa"/>
          </w:tcPr>
          <w:p w14:paraId="6715D25F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家</w:t>
            </w:r>
          </w:p>
        </w:tc>
        <w:tc>
          <w:tcPr>
            <w:tcW w:w="3402" w:type="dxa"/>
          </w:tcPr>
          <w:p w14:paraId="36B757AD">
            <w:pPr>
              <w:pStyle w:val="2"/>
              <w:spacing w:line="360" w:lineRule="auto"/>
              <w:jc w:val="center"/>
              <w:rPr>
                <w:rFonts w:hint="default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</w:tr>
      <w:tr w14:paraId="7B04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F33123D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C（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辅助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3260" w:type="dxa"/>
          </w:tcPr>
          <w:p w14:paraId="098EDA51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家</w:t>
            </w:r>
          </w:p>
        </w:tc>
        <w:tc>
          <w:tcPr>
            <w:tcW w:w="3402" w:type="dxa"/>
          </w:tcPr>
          <w:p w14:paraId="4F1E4D88">
            <w:pPr>
              <w:pStyle w:val="2"/>
              <w:spacing w:line="360" w:lineRule="auto"/>
              <w:jc w:val="center"/>
              <w:rPr>
                <w:rFonts w:hint="default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</w:tr>
      <w:tr w14:paraId="1D4B8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2DFF3196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合计</w:t>
            </w:r>
          </w:p>
        </w:tc>
        <w:tc>
          <w:tcPr>
            <w:tcW w:w="3260" w:type="dxa"/>
          </w:tcPr>
          <w:p w14:paraId="1C86B638">
            <w:pPr>
              <w:pStyle w:val="2"/>
              <w:spacing w:line="360" w:lineRule="auto"/>
              <w:jc w:val="center"/>
              <w:rPr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家</w:t>
            </w:r>
          </w:p>
        </w:tc>
        <w:tc>
          <w:tcPr>
            <w:tcW w:w="3402" w:type="dxa"/>
          </w:tcPr>
          <w:p w14:paraId="55E89174">
            <w:pPr>
              <w:pStyle w:val="2"/>
              <w:spacing w:line="360" w:lineRule="auto"/>
              <w:jc w:val="center"/>
              <w:rPr>
                <w:rFonts w:hint="default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71</w:t>
            </w:r>
          </w:p>
        </w:tc>
      </w:tr>
    </w:tbl>
    <w:p w14:paraId="5310A4CD">
      <w:pPr>
        <w:pStyle w:val="2"/>
        <w:spacing w:line="360" w:lineRule="auto"/>
        <w:rPr>
          <w:sz w:val="24"/>
          <w:szCs w:val="24"/>
          <w:highlight w:val="none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4CE07003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11935">
    <w:pPr>
      <w:pStyle w:val="3"/>
      <w:jc w:val="center"/>
    </w:pPr>
  </w:p>
  <w:p w14:paraId="65BDA97F">
    <w:pPr>
      <w:pStyle w:val="3"/>
    </w:pPr>
  </w:p>
  <w:p w14:paraId="0EE3065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C5257">
    <w:pPr>
      <w:pStyle w:val="4"/>
    </w:pPr>
    <w:r>
      <w:rPr>
        <w:rFonts w:hint="eastAsia"/>
      </w:rPr>
      <w:t>供应商</w:t>
    </w:r>
    <w:r>
      <w:t>风险评估报告</w:t>
    </w:r>
  </w:p>
  <w:p w14:paraId="6451D36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F2B83"/>
    <w:rsid w:val="4777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Cs w:val="21"/>
      <w:lang w:eastAsia="en-US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1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1820</Words>
  <Characters>1938</Characters>
  <Lines>0</Lines>
  <Paragraphs>0</Paragraphs>
  <TotalTime>0</TotalTime>
  <ScaleCrop>false</ScaleCrop>
  <LinksUpToDate>false</LinksUpToDate>
  <CharactersWithSpaces>1966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2025-04-23T09:59:00Z</dcterms:created>
  <dc:creator>边婷婷</dc:creator>
  <cp:lastModifiedBy>边亭亭</cp:lastModifiedBy>
  <dcterms:modified xsi:type="dcterms:W3CDTF">2025-04-24T00:37:39Z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eyJoZGlkIjoiYzFjNmJiMDQ4MTQ2MmVjNTEwMWE5OTE2OWExM2UzYzkiLCJ1c2VySWQiOiI0OTU3Mjg3NTgifQ==</vt:lpwstr>
  </property>
  <property fmtid="{D5CDD505-2E9C-101B-9397-08002B2CF9AE}" pid="4" name="ICV">
    <vt:lpwstr>90ABCE39D7344DCF9748663C4EE3C576_12</vt:lpwstr>
  </property>
</Properties>
</file>